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r>
        <w:rPr>
          <w:rFonts w:hint="eastAsia" w:ascii="Times New Roman" w:hAnsi="Times New Roman" w:eastAsia="方正小标宋简体" w:cs="Times New Roman"/>
          <w:sz w:val="44"/>
          <w:szCs w:val="44"/>
          <w:lang w:val="en-US" w:eastAsia="zh-CN"/>
        </w:rPr>
        <w:t>中共</w:t>
      </w: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委政法委员会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640" w:firstLineChars="200"/>
        <w:rPr>
          <w:rFonts w:ascii="仿宋" w:hAnsi="仿宋" w:eastAsia="仿宋" w:cs="Times New Roman"/>
          <w:sz w:val="32"/>
          <w:szCs w:val="32"/>
        </w:rPr>
      </w:pPr>
      <w:bookmarkStart w:id="0" w:name="_Toc67669220"/>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lang w:val="en-US" w:eastAsia="zh-CN"/>
        </w:rPr>
        <w:t>中共</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委政法委员会</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before="156" w:beforeLines="50" w:after="156" w:afterLines="50"/>
        <w:ind w:firstLine="640" w:firstLineChars="200"/>
        <w:jc w:val="left"/>
        <w:outlineLvl w:val="2"/>
        <w:rPr>
          <w:rFonts w:hint="eastAsia" w:hAnsi="宋体"/>
          <w:sz w:val="32"/>
        </w:rPr>
      </w:pPr>
      <w:r>
        <w:rPr>
          <w:rFonts w:hint="eastAsia" w:ascii="黑体" w:hAnsi="黑体" w:eastAsia="黑体"/>
          <w:sz w:val="32"/>
        </w:rPr>
        <w:t>一、部门职责及机构设置情况</w:t>
      </w:r>
      <w:bookmarkEnd w:id="0"/>
    </w:p>
    <w:p>
      <w:pPr>
        <w:ind w:firstLine="643" w:firstLineChars="200"/>
        <w:jc w:val="left"/>
        <w:rPr>
          <w:rFonts w:hint="eastAsia" w:hAnsi="宋体"/>
          <w:b/>
          <w:sz w:val="32"/>
        </w:rPr>
      </w:pPr>
      <w:r>
        <w:rPr>
          <w:rFonts w:hint="eastAsia" w:ascii="方正楷体_GBK" w:eastAsia="方正楷体_GBK"/>
          <w:b/>
          <w:sz w:val="32"/>
        </w:rPr>
        <w:t>部门职责：</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廊坊市中共大厂回族自治县委政法委员会对全县政法工作研究提出全局性部署，推进平安大厂、法治大厂建设，加强过硬队伍建设，深化智能化建设，坚决维护国家政治安全、确保社会大局稳定、促进社会公平正义、保障人民安居乐业。其内设二个部门，分别是：</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综合办公室：协助领导了解掌握全县政法工作全面情况。督查督办中央和省市县委关于政法工作决策部署的贯彻落实情况。负责机关文电、会务、机要、档案、财务、后勤、固定资产管理、保密、安全、值班等行政管理工作。负责内外联系与综合协调工作。承担对外交流与合作工作，负责机关政务公开工作。统筹全县政法系统信息化工作，制定发展战略、总体规划、阶段目标，组织全县政法系统信息化基础性、公共性设施项目规划、建设。指导政法智能化建设，协调政法网与其他电子政务系统融合发展。指导全县政法网信息安全保障体系建设，协调信息安全应急处置工作。负责县委政法委机关信息化项目建设和运维工作。监督检查全县政法单位执行党的路线方针政策和国家法律法规的情况，调查分析和及时纠正存在的倾向性问题，研究制定相关措施。指导推动全县政法单位建立健全执法监督制度，针对突出问题组织开展专项检查和专项治理。监督和支持政法单位依法履行职责、行使职权，督促依法及时办理有重大影响、群众反映强烈的案件。协调处理涉法涉诉信访工作。调查分析全县社会治安形势并提出建议。指导落实社会治安综合治理领导责任制，承担社会治安综合治理工作的组织协调、督导检查和综合考评。指导协调各部门推进扫黑除恶、社会治安重点地区和突出治安问题排查整治、社会治安防控体系建设。</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政治处：负责全县政法系统的思想政治教育工作，承办综合协调政法系统宣传工作及先进典型培树。负责全县政法系统重大活动的宣传工作。指导全县政法系统政法文化工作。组织协调政法舆情的监控分析，研究全县影响国家安全和社会稳定的舆论情况和信息，提出对策建议。负责机关党的建设等各项工作、干部人事工作和机关离退休干部服务管理工作，指导协调全县政法调研工作，组织重大课题研究。</w:t>
      </w:r>
    </w:p>
    <w:p>
      <w:pPr>
        <w:spacing w:line="500" w:lineRule="exact"/>
        <w:ind w:firstLine="560" w:firstLineChars="200"/>
        <w:jc w:val="left"/>
        <w:rPr>
          <w:rFonts w:eastAsia="方正仿宋_GBK"/>
          <w:sz w:val="28"/>
        </w:rPr>
      </w:pPr>
    </w:p>
    <w:p>
      <w:pPr>
        <w:ind w:firstLine="643" w:firstLineChars="200"/>
        <w:jc w:val="left"/>
        <w:rPr>
          <w:rFonts w:hint="eastAsia" w:hAnsi="宋体"/>
          <w:b/>
          <w:sz w:val="32"/>
        </w:rPr>
      </w:pPr>
      <w:r>
        <w:rPr>
          <w:rFonts w:hint="eastAsia" w:ascii="方正楷体_GBK" w:eastAsia="方正楷体_GBK"/>
          <w:b/>
          <w:sz w:val="32"/>
        </w:rPr>
        <w:t>机构设置：</w:t>
      </w:r>
    </w:p>
    <w:p>
      <w:pPr>
        <w:jc w:val="center"/>
        <w:rPr>
          <w:rFonts w:hint="eastAsia" w:hAnsi="宋体"/>
          <w:sz w:val="32"/>
        </w:rPr>
      </w:pPr>
      <w:r>
        <w:rPr>
          <w:rFonts w:hint="eastAsia" w:ascii="方正小标宋_GBK" w:eastAsia="方正小标宋_GBK"/>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中共大厂回族自治县委政法委员会</w:t>
            </w:r>
          </w:p>
        </w:tc>
        <w:tc>
          <w:tcPr>
            <w:tcW w:w="1843"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行政</w:t>
            </w:r>
          </w:p>
        </w:tc>
        <w:tc>
          <w:tcPr>
            <w:tcW w:w="212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正科级</w:t>
            </w:r>
          </w:p>
        </w:tc>
        <w:tc>
          <w:tcPr>
            <w:tcW w:w="382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财政拨款</w:t>
            </w:r>
          </w:p>
        </w:tc>
      </w:tr>
    </w:tbl>
    <w:p>
      <w:pPr>
        <w:spacing w:before="156" w:beforeLines="50" w:after="156" w:afterLines="50"/>
        <w:ind w:firstLine="640" w:firstLineChars="200"/>
        <w:jc w:val="left"/>
        <w:outlineLvl w:val="2"/>
        <w:rPr>
          <w:rFonts w:hint="eastAsia" w:hAnsi="宋体"/>
          <w:sz w:val="32"/>
        </w:rPr>
      </w:pPr>
      <w:bookmarkStart w:id="1" w:name="_Toc67669221"/>
      <w:r>
        <w:rPr>
          <w:rFonts w:hint="eastAsia" w:ascii="黑体" w:hAnsi="黑体" w:eastAsia="黑体"/>
          <w:sz w:val="32"/>
        </w:rPr>
        <w:t>二、部门预算安排的总体情况</w:t>
      </w:r>
      <w:bookmarkEnd w:id="1"/>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lang w:val="en-US" w:eastAsia="zh-CN"/>
        </w:rPr>
        <w:t>中共大厂回族自治县委政法委员会</w:t>
      </w:r>
      <w:r>
        <w:rPr>
          <w:rFonts w:ascii="仿宋" w:hAnsi="仿宋" w:eastAsia="仿宋" w:cs="Times New Roman"/>
          <w:sz w:val="32"/>
          <w:szCs w:val="32"/>
        </w:rPr>
        <w:t>机关</w:t>
      </w:r>
      <w:r>
        <w:rPr>
          <w:rFonts w:hint="eastAsia" w:ascii="仿宋" w:hAnsi="仿宋" w:eastAsia="仿宋" w:cs="Times New Roman"/>
          <w:sz w:val="32"/>
          <w:szCs w:val="32"/>
          <w:lang w:val="en-US" w:eastAsia="zh-CN"/>
        </w:rPr>
        <w:t>及所属事业单位</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1176.54</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1176.54</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lang w:val="en-US" w:eastAsia="zh-CN"/>
        </w:rPr>
        <w:t>中共大厂回族自治县委政法委员会2022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1176.54</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505.77</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445.56</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公用经费</w:t>
      </w:r>
      <w:r>
        <w:rPr>
          <w:rFonts w:hint="eastAsia" w:ascii="仿宋" w:hAnsi="仿宋" w:eastAsia="仿宋" w:cs="Times New Roman"/>
          <w:sz w:val="32"/>
          <w:szCs w:val="32"/>
          <w:lang w:val="en-US" w:eastAsia="zh-CN"/>
        </w:rPr>
        <w:t>60.21</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项目支出670.77万元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1176.54</w:t>
      </w:r>
      <w:r>
        <w:rPr>
          <w:rFonts w:ascii="仿宋" w:hAnsi="仿宋" w:eastAsia="仿宋" w:cs="Times New Roman"/>
          <w:sz w:val="32"/>
          <w:szCs w:val="32"/>
        </w:rPr>
        <w:t>万元，较20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1</w:t>
      </w:r>
      <w:r>
        <w:rPr>
          <w:rFonts w:ascii="仿宋" w:hAnsi="仿宋" w:eastAsia="仿宋" w:cs="Times New Roman"/>
          <w:sz w:val="32"/>
          <w:szCs w:val="32"/>
        </w:rPr>
        <w:t>年预算</w:t>
      </w:r>
      <w:r>
        <w:rPr>
          <w:rFonts w:hint="eastAsia" w:ascii="仿宋" w:hAnsi="仿宋" w:eastAsia="仿宋" w:cs="Times New Roman"/>
          <w:sz w:val="32"/>
          <w:szCs w:val="32"/>
          <w:lang w:val="en-US" w:eastAsia="zh-CN"/>
        </w:rPr>
        <w:t>减少1736.95</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减少</w:t>
      </w:r>
      <w:r>
        <w:rPr>
          <w:rFonts w:hint="eastAsia" w:ascii="仿宋" w:hAnsi="仿宋" w:eastAsia="仿宋" w:cs="Times New Roman"/>
          <w:sz w:val="32"/>
          <w:szCs w:val="32"/>
          <w:highlight w:val="none"/>
          <w:lang w:val="en-US" w:eastAsia="zh-CN"/>
        </w:rPr>
        <w:t>96.4</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人员支出减少</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减少1700.76</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减少了</w:t>
      </w:r>
      <w:r>
        <w:rPr>
          <w:rFonts w:hint="eastAsia" w:ascii="仿宋" w:hAnsi="仿宋" w:eastAsia="仿宋" w:cs="Times New Roman"/>
          <w:sz w:val="32"/>
          <w:szCs w:val="32"/>
        </w:rPr>
        <w:t>大厂县智慧综治二期建设</w:t>
      </w:r>
      <w:r>
        <w:rPr>
          <w:rFonts w:hint="eastAsia" w:ascii="仿宋" w:hAnsi="仿宋" w:eastAsia="仿宋" w:cs="Times New Roman"/>
          <w:sz w:val="32"/>
          <w:szCs w:val="32"/>
          <w:lang w:val="en-US" w:eastAsia="zh-CN"/>
        </w:rPr>
        <w:t>项目、</w:t>
      </w:r>
      <w:r>
        <w:rPr>
          <w:rFonts w:hint="eastAsia" w:ascii="仿宋" w:hAnsi="仿宋" w:eastAsia="仿宋" w:cs="Times New Roman"/>
          <w:sz w:val="32"/>
          <w:szCs w:val="32"/>
        </w:rPr>
        <w:t>大厂县“智慧城市”存储机房改造</w:t>
      </w:r>
      <w:r>
        <w:rPr>
          <w:rFonts w:hint="eastAsia" w:ascii="仿宋" w:hAnsi="仿宋" w:eastAsia="仿宋" w:cs="Times New Roman"/>
          <w:sz w:val="32"/>
          <w:szCs w:val="32"/>
          <w:lang w:val="en-US" w:eastAsia="zh-CN"/>
        </w:rPr>
        <w:t>项目及“</w:t>
      </w:r>
      <w:r>
        <w:rPr>
          <w:rFonts w:hint="eastAsia" w:ascii="仿宋" w:hAnsi="仿宋" w:eastAsia="仿宋" w:cs="Times New Roman"/>
          <w:sz w:val="32"/>
          <w:szCs w:val="32"/>
        </w:rPr>
        <w:t>群众说事，干部解题</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信息化平台建设</w:t>
      </w:r>
      <w:r>
        <w:rPr>
          <w:rFonts w:hint="eastAsia" w:ascii="仿宋" w:hAnsi="仿宋" w:eastAsia="仿宋" w:cs="Times New Roman"/>
          <w:sz w:val="32"/>
          <w:szCs w:val="32"/>
          <w:lang w:val="en-US" w:eastAsia="zh-CN"/>
        </w:rPr>
        <w:t>项目等</w:t>
      </w:r>
      <w:r>
        <w:rPr>
          <w:rFonts w:ascii="仿宋" w:hAnsi="仿宋" w:eastAsia="仿宋" w:cs="Times New Roman"/>
          <w:sz w:val="32"/>
          <w:szCs w:val="32"/>
        </w:rPr>
        <w:t>支出。</w:t>
      </w:r>
    </w:p>
    <w:p>
      <w:pPr>
        <w:spacing w:line="500" w:lineRule="exact"/>
        <w:ind w:firstLine="560" w:firstLineChars="200"/>
        <w:jc w:val="left"/>
        <w:rPr>
          <w:rFonts w:hint="eastAsia" w:eastAsia="方正仿宋_GBK"/>
          <w:sz w:val="28"/>
        </w:rPr>
      </w:pPr>
    </w:p>
    <w:p>
      <w:pPr>
        <w:spacing w:before="156" w:beforeLines="50" w:after="156" w:afterLines="50"/>
        <w:ind w:firstLine="640" w:firstLineChars="200"/>
        <w:jc w:val="left"/>
        <w:outlineLvl w:val="2"/>
        <w:rPr>
          <w:rFonts w:hint="eastAsia" w:ascii="黑体" w:hAnsi="黑体" w:eastAsia="黑体"/>
          <w:sz w:val="32"/>
        </w:rPr>
      </w:pPr>
      <w:bookmarkStart w:id="2" w:name="_Toc67669222"/>
      <w:r>
        <w:rPr>
          <w:rFonts w:hint="eastAsia" w:ascii="黑体" w:hAnsi="黑体" w:eastAsia="黑体"/>
          <w:sz w:val="32"/>
        </w:rPr>
        <w:t>三、机关运行经费安排情况</w:t>
      </w:r>
      <w:bookmarkEnd w:id="2"/>
    </w:p>
    <w:p>
      <w:pPr>
        <w:spacing w:before="156" w:beforeLines="50" w:after="156" w:afterLines="50"/>
        <w:ind w:firstLine="640" w:firstLineChars="200"/>
        <w:jc w:val="left"/>
        <w:outlineLvl w:val="2"/>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年，我</w:t>
      </w:r>
      <w:r>
        <w:rPr>
          <w:rFonts w:hint="eastAsia" w:ascii="仿宋" w:hAnsi="仿宋" w:eastAsia="仿宋" w:cs="Times New Roman"/>
          <w:sz w:val="32"/>
          <w:szCs w:val="32"/>
          <w:lang w:val="en-US" w:eastAsia="zh-CN"/>
        </w:rPr>
        <w:t>部门</w:t>
      </w:r>
      <w:r>
        <w:rPr>
          <w:rFonts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60.21</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本部门</w:t>
      </w:r>
      <w:r>
        <w:rPr>
          <w:rFonts w:ascii="仿宋" w:hAnsi="仿宋" w:eastAsia="仿宋" w:cs="Times New Roman"/>
          <w:sz w:val="32"/>
          <w:szCs w:val="32"/>
        </w:rPr>
        <w:t>办公区的日常维修、办公用房水电费、办公用房取暖费、办公用房物业管理费等日常运行支出。</w:t>
      </w:r>
    </w:p>
    <w:p>
      <w:pPr>
        <w:spacing w:before="156" w:beforeLines="50" w:after="156" w:afterLines="50"/>
        <w:ind w:firstLine="640" w:firstLineChars="200"/>
        <w:jc w:val="left"/>
        <w:outlineLvl w:val="2"/>
        <w:rPr>
          <w:rFonts w:hint="eastAsia" w:hAnsi="宋体"/>
          <w:sz w:val="32"/>
        </w:rPr>
      </w:pPr>
      <w:bookmarkStart w:id="3" w:name="_Toc67669223"/>
      <w:r>
        <w:rPr>
          <w:rFonts w:hint="eastAsia" w:ascii="黑体" w:hAnsi="黑体" w:eastAsia="黑体"/>
          <w:sz w:val="32"/>
        </w:rPr>
        <w:t>四、财政拨款</w:t>
      </w:r>
      <w:r>
        <w:rPr>
          <w:rFonts w:hint="cs" w:ascii="黑体" w:hAnsi="黑体" w:eastAsia="黑体"/>
          <w:sz w:val="32"/>
        </w:rPr>
        <w:t>“</w:t>
      </w:r>
      <w:r>
        <w:rPr>
          <w:rFonts w:hint="eastAsia" w:ascii="黑体" w:hAnsi="黑体" w:eastAsia="黑体"/>
          <w:sz w:val="32"/>
        </w:rPr>
        <w:t>三公</w:t>
      </w:r>
      <w:r>
        <w:rPr>
          <w:rFonts w:hint="cs" w:ascii="黑体" w:hAnsi="黑体" w:eastAsia="黑体"/>
          <w:sz w:val="32"/>
        </w:rPr>
        <w:t>”</w:t>
      </w:r>
      <w:r>
        <w:rPr>
          <w:rFonts w:hint="eastAsia" w:ascii="黑体" w:hAnsi="黑体" w:eastAsia="黑体"/>
          <w:sz w:val="32"/>
        </w:rPr>
        <w:t>经费预算情况及增减变化原因</w:t>
      </w:r>
      <w:bookmarkEnd w:id="3"/>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20</w:t>
      </w:r>
      <w:r>
        <w:rPr>
          <w:rFonts w:hint="eastAsia" w:ascii="仿宋" w:hAnsi="仿宋" w:eastAsia="仿宋" w:cs="Times New Roman"/>
          <w:sz w:val="32"/>
          <w:szCs w:val="32"/>
          <w:highlight w:val="none"/>
        </w:rPr>
        <w:t>2</w:t>
      </w:r>
      <w:r>
        <w:rPr>
          <w:rFonts w:hint="eastAsia" w:ascii="仿宋" w:hAnsi="仿宋" w:eastAsia="仿宋" w:cs="Times New Roman"/>
          <w:sz w:val="32"/>
          <w:szCs w:val="32"/>
          <w:highlight w:val="none"/>
          <w:lang w:val="en-US" w:eastAsia="zh-CN"/>
        </w:rPr>
        <w:t>2</w:t>
      </w:r>
      <w:r>
        <w:rPr>
          <w:rFonts w:ascii="仿宋" w:hAnsi="仿宋" w:eastAsia="仿宋" w:cs="Times New Roman"/>
          <w:sz w:val="32"/>
          <w:szCs w:val="32"/>
          <w:highlight w:val="none"/>
        </w:rPr>
        <w:t>年，我</w:t>
      </w:r>
      <w:r>
        <w:rPr>
          <w:rFonts w:hint="eastAsia" w:ascii="仿宋" w:hAnsi="仿宋" w:eastAsia="仿宋" w:cs="Times New Roman"/>
          <w:sz w:val="32"/>
          <w:szCs w:val="32"/>
          <w:highlight w:val="none"/>
          <w:lang w:val="en-US" w:eastAsia="zh-CN"/>
        </w:rPr>
        <w:t>部门</w:t>
      </w:r>
      <w:r>
        <w:rPr>
          <w:rFonts w:ascii="仿宋" w:hAnsi="仿宋" w:eastAsia="仿宋" w:cs="Times New Roman"/>
          <w:sz w:val="32"/>
          <w:szCs w:val="32"/>
          <w:highlight w:val="none"/>
        </w:rPr>
        <w:t>财政拨款“三公”经费预算安排</w:t>
      </w:r>
      <w:r>
        <w:rPr>
          <w:rFonts w:hint="eastAsia" w:ascii="仿宋" w:hAnsi="仿宋" w:eastAsia="仿宋" w:cs="Times New Roman"/>
          <w:sz w:val="32"/>
          <w:szCs w:val="32"/>
          <w:highlight w:val="none"/>
          <w:lang w:val="en-US" w:eastAsia="zh-CN"/>
        </w:rPr>
        <w:t>6.46</w:t>
      </w:r>
      <w:r>
        <w:rPr>
          <w:rFonts w:ascii="仿宋" w:hAnsi="仿宋" w:eastAsia="仿宋" w:cs="Times New Roman"/>
          <w:sz w:val="32"/>
          <w:szCs w:val="32"/>
          <w:highlight w:val="none"/>
        </w:rPr>
        <w:t>万元</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其中</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因公出国（境）费</w:t>
      </w:r>
      <w:r>
        <w:rPr>
          <w:rFonts w:hint="eastAsia" w:ascii="仿宋" w:hAnsi="仿宋" w:eastAsia="仿宋" w:cs="Times New Roman"/>
          <w:sz w:val="32"/>
          <w:szCs w:val="32"/>
          <w:highlight w:val="none"/>
          <w:lang w:val="en-US" w:eastAsia="zh-CN"/>
        </w:rPr>
        <w:t>0</w:t>
      </w:r>
      <w:r>
        <w:rPr>
          <w:rFonts w:ascii="仿宋" w:hAnsi="仿宋" w:eastAsia="仿宋" w:cs="Times New Roman"/>
          <w:sz w:val="32"/>
          <w:szCs w:val="32"/>
          <w:highlight w:val="none"/>
        </w:rPr>
        <w:t>万元；公务用车购置及运维费</w:t>
      </w:r>
      <w:r>
        <w:rPr>
          <w:rFonts w:hint="eastAsia" w:ascii="仿宋" w:hAnsi="仿宋" w:eastAsia="仿宋" w:cs="Times New Roman"/>
          <w:sz w:val="32"/>
          <w:szCs w:val="32"/>
          <w:highlight w:val="none"/>
          <w:lang w:val="en-US" w:eastAsia="zh-CN"/>
        </w:rPr>
        <w:t>6.2</w:t>
      </w:r>
      <w:r>
        <w:rPr>
          <w:rFonts w:ascii="仿宋" w:hAnsi="仿宋" w:eastAsia="仿宋" w:cs="Times New Roman"/>
          <w:sz w:val="32"/>
          <w:szCs w:val="32"/>
          <w:highlight w:val="none"/>
        </w:rPr>
        <w:t>万元（其中：公务用车购置费为</w:t>
      </w:r>
      <w:r>
        <w:rPr>
          <w:rFonts w:hint="eastAsia" w:ascii="仿宋" w:hAnsi="仿宋" w:eastAsia="仿宋" w:cs="Times New Roman"/>
          <w:sz w:val="32"/>
          <w:szCs w:val="32"/>
          <w:highlight w:val="none"/>
          <w:lang w:val="en-US" w:eastAsia="zh-CN"/>
        </w:rPr>
        <w:t>0</w:t>
      </w:r>
      <w:r>
        <w:rPr>
          <w:rFonts w:ascii="仿宋" w:hAnsi="仿宋" w:eastAsia="仿宋" w:cs="Times New Roman"/>
          <w:sz w:val="32"/>
          <w:szCs w:val="32"/>
          <w:highlight w:val="none"/>
        </w:rPr>
        <w:t>万元，公务用车运维费</w:t>
      </w:r>
      <w:r>
        <w:rPr>
          <w:rFonts w:hint="eastAsia" w:ascii="仿宋" w:hAnsi="仿宋" w:eastAsia="仿宋" w:cs="Times New Roman"/>
          <w:sz w:val="32"/>
          <w:szCs w:val="32"/>
          <w:highlight w:val="none"/>
          <w:lang w:val="en-US" w:eastAsia="zh-CN"/>
        </w:rPr>
        <w:t>6.2</w:t>
      </w:r>
      <w:r>
        <w:rPr>
          <w:rFonts w:ascii="仿宋" w:hAnsi="仿宋" w:eastAsia="仿宋" w:cs="Times New Roman"/>
          <w:sz w:val="32"/>
          <w:szCs w:val="32"/>
          <w:highlight w:val="none"/>
        </w:rPr>
        <w:t>万元)；公务接待费</w:t>
      </w:r>
      <w:r>
        <w:rPr>
          <w:rFonts w:hint="eastAsia" w:ascii="仿宋" w:hAnsi="仿宋" w:eastAsia="仿宋" w:cs="Times New Roman"/>
          <w:sz w:val="32"/>
          <w:szCs w:val="32"/>
          <w:highlight w:val="none"/>
          <w:lang w:val="en-US" w:eastAsia="zh-CN"/>
        </w:rPr>
        <w:t>0.26</w:t>
      </w:r>
      <w:r>
        <w:rPr>
          <w:rFonts w:ascii="仿宋" w:hAnsi="仿宋" w:eastAsia="仿宋" w:cs="Times New Roman"/>
          <w:sz w:val="32"/>
          <w:szCs w:val="32"/>
          <w:highlight w:val="none"/>
        </w:rPr>
        <w:t>万元。与20</w:t>
      </w:r>
      <w:r>
        <w:rPr>
          <w:rFonts w:hint="eastAsia" w:ascii="仿宋" w:hAnsi="仿宋" w:eastAsia="仿宋" w:cs="Times New Roman"/>
          <w:sz w:val="32"/>
          <w:szCs w:val="32"/>
          <w:highlight w:val="none"/>
        </w:rPr>
        <w:t>2</w:t>
      </w:r>
      <w:r>
        <w:rPr>
          <w:rFonts w:hint="eastAsia" w:ascii="仿宋" w:hAnsi="仿宋" w:eastAsia="仿宋" w:cs="Times New Roman"/>
          <w:sz w:val="32"/>
          <w:szCs w:val="32"/>
          <w:highlight w:val="none"/>
          <w:lang w:val="en-US" w:eastAsia="zh-CN"/>
        </w:rPr>
        <w:t>1</w:t>
      </w:r>
      <w:r>
        <w:rPr>
          <w:rFonts w:ascii="仿宋" w:hAnsi="仿宋" w:eastAsia="仿宋" w:cs="Times New Roman"/>
          <w:sz w:val="32"/>
          <w:szCs w:val="32"/>
          <w:highlight w:val="none"/>
        </w:rPr>
        <w:t>年</w:t>
      </w:r>
      <w:r>
        <w:rPr>
          <w:rFonts w:hint="eastAsia" w:ascii="仿宋" w:hAnsi="仿宋" w:eastAsia="仿宋" w:cs="Times New Roman"/>
          <w:sz w:val="32"/>
          <w:szCs w:val="32"/>
          <w:highlight w:val="none"/>
        </w:rPr>
        <w:t>相比</w:t>
      </w:r>
      <w:r>
        <w:rPr>
          <w:rFonts w:hint="eastAsia" w:ascii="仿宋" w:hAnsi="仿宋" w:eastAsia="仿宋" w:cs="Times New Roman"/>
          <w:sz w:val="32"/>
          <w:szCs w:val="32"/>
          <w:highlight w:val="none"/>
          <w:lang w:val="en-US" w:eastAsia="zh-CN"/>
        </w:rPr>
        <w:t>减少2.11</w:t>
      </w:r>
      <w:r>
        <w:rPr>
          <w:rFonts w:ascii="仿宋" w:hAnsi="仿宋" w:eastAsia="仿宋" w:cs="Times New Roman"/>
          <w:sz w:val="32"/>
          <w:szCs w:val="32"/>
          <w:highlight w:val="none"/>
        </w:rPr>
        <w:t>万元，公务接待费</w:t>
      </w:r>
      <w:r>
        <w:rPr>
          <w:rFonts w:hint="eastAsia" w:ascii="仿宋" w:hAnsi="仿宋" w:eastAsia="仿宋" w:cs="Times New Roman"/>
          <w:sz w:val="32"/>
          <w:szCs w:val="32"/>
          <w:highlight w:val="none"/>
          <w:lang w:val="en-US" w:eastAsia="zh-CN"/>
        </w:rPr>
        <w:t>减少0.01</w:t>
      </w:r>
      <w:r>
        <w:rPr>
          <w:rFonts w:hint="eastAsia" w:ascii="仿宋" w:hAnsi="仿宋" w:eastAsia="仿宋" w:cs="Times New Roman"/>
          <w:sz w:val="32"/>
          <w:szCs w:val="32"/>
          <w:highlight w:val="none"/>
        </w:rPr>
        <w:t>万元，</w:t>
      </w:r>
      <w:r>
        <w:rPr>
          <w:rFonts w:ascii="仿宋_GB2312" w:eastAsia="仿宋_GB2312"/>
          <w:sz w:val="32"/>
          <w:szCs w:val="32"/>
          <w:highlight w:val="none"/>
        </w:rPr>
        <w:t>主要原因是</w:t>
      </w:r>
      <w:r>
        <w:rPr>
          <w:rFonts w:hint="eastAsia" w:ascii="仿宋" w:hAnsi="仿宋" w:eastAsia="仿宋"/>
          <w:sz w:val="32"/>
          <w:szCs w:val="32"/>
        </w:rPr>
        <w:t>严格控制“三公经费”支出</w:t>
      </w:r>
      <w:r>
        <w:rPr>
          <w:rFonts w:hint="eastAsia" w:ascii="仿宋_GB2312" w:eastAsia="仿宋_GB2312"/>
          <w:sz w:val="32"/>
          <w:szCs w:val="32"/>
          <w:highlight w:val="none"/>
        </w:rPr>
        <w:t>。</w:t>
      </w:r>
    </w:p>
    <w:p>
      <w:pPr>
        <w:spacing w:before="156" w:beforeLines="50" w:after="156" w:afterLines="50"/>
        <w:ind w:firstLine="640" w:firstLineChars="200"/>
        <w:jc w:val="left"/>
        <w:outlineLvl w:val="2"/>
        <w:rPr>
          <w:rFonts w:hint="eastAsia" w:hAnsi="宋体"/>
          <w:sz w:val="32"/>
        </w:rPr>
      </w:pPr>
      <w:bookmarkStart w:id="4" w:name="_Toc67669224"/>
      <w:r>
        <w:rPr>
          <w:rFonts w:hint="eastAsia" w:ascii="黑体" w:hAnsi="黑体" w:eastAsia="黑体"/>
          <w:sz w:val="32"/>
        </w:rPr>
        <w:t>五、预算绩效信息</w:t>
      </w:r>
      <w:bookmarkEnd w:id="4"/>
    </w:p>
    <w:p>
      <w:pPr>
        <w:ind w:firstLine="643" w:firstLineChars="200"/>
        <w:jc w:val="left"/>
        <w:rPr>
          <w:rFonts w:hint="eastAsia" w:hAnsi="宋体"/>
          <w:b/>
          <w:sz w:val="32"/>
        </w:rPr>
      </w:pPr>
      <w:r>
        <w:rPr>
          <w:rFonts w:hint="eastAsia" w:ascii="方正楷体_GBK" w:eastAsia="方正楷体_GBK"/>
          <w:b/>
          <w:sz w:val="32"/>
        </w:rPr>
        <w:t>第一部分</w:t>
      </w:r>
      <w:r>
        <w:rPr>
          <w:rFonts w:ascii="方正楷体_GBK" w:eastAsia="方正楷体_GBK"/>
          <w:b/>
          <w:sz w:val="32"/>
        </w:rPr>
        <w:t xml:space="preserve"> </w:t>
      </w:r>
      <w:r>
        <w:rPr>
          <w:rFonts w:hint="eastAsia" w:ascii="方正楷体_GBK" w:eastAsia="方正楷体_GBK"/>
          <w:b/>
          <w:sz w:val="32"/>
        </w:rPr>
        <w:t>部门整体绩效目标</w:t>
      </w:r>
    </w:p>
    <w:p>
      <w:pPr>
        <w:spacing w:line="584" w:lineRule="exact"/>
        <w:ind w:firstLine="643" w:firstLineChars="200"/>
        <w:rPr>
          <w:rFonts w:hint="eastAsia" w:ascii="楷体" w:hAnsi="楷体" w:eastAsia="楷体" w:cs="Times New Roman"/>
          <w:b/>
          <w:sz w:val="32"/>
          <w:szCs w:val="32"/>
          <w:lang w:eastAsia="zh-CN"/>
        </w:rPr>
      </w:pPr>
      <w:r>
        <w:rPr>
          <w:rFonts w:hint="eastAsia" w:ascii="楷体" w:hAnsi="楷体" w:eastAsia="楷体" w:cs="Times New Roman"/>
          <w:b/>
          <w:sz w:val="32"/>
          <w:szCs w:val="32"/>
          <w:lang w:eastAsia="zh-CN"/>
        </w:rPr>
        <w:t>（一）总体绩效目标</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认真贯彻落实习近平总书记关于政法工作的重要指示、批示精神，按照中央和省、市政法工作会议部署要求，2022年中共大厂回放自治县委政法委员会统一全县政法部门思想和行动,确保全县政法部门坚定正确的政治方向。对全县政法工作研究提出全局性部署,推进平安大厂、法治大厂建设,加强过硬队伍建设,深化智能化建设,坚决维护国家政治安全、确保社会大局稳定、促进社会公平正义、保障人民安居乐业。了解掌握和分析研判政法工作情况动态，分析社会稳定形势,创新完善多部门参与的综治维稳工作机制,协调推动预防、化解影响稳定的社会矛盾和风险,协调应对和处置重大突发事件。协调和指导全县见义勇为工作，加强对政法工作的督查,统筹协调社会治安综合治理、反邪教有关法律法规政策的实施工作。监督和支持政法单位依法行使职权,指导和协调政法单位密切配合,研究和协调重大、疑难案件,指导政法单位涉法涉诉信访工作,推进严格执法、公正司法。指导推动政法系统党的建设和政法队伍建设。统筹推动全县政法系统信息化工作、指导政法智能化建设。</w:t>
      </w:r>
    </w:p>
    <w:p>
      <w:pPr>
        <w:spacing w:line="584" w:lineRule="exact"/>
        <w:ind w:firstLine="643" w:firstLineChars="200"/>
        <w:rPr>
          <w:rFonts w:hint="eastAsia" w:ascii="楷体" w:hAnsi="楷体" w:eastAsia="楷体" w:cs="Times New Roman"/>
          <w:b/>
          <w:sz w:val="32"/>
          <w:szCs w:val="32"/>
          <w:lang w:eastAsia="zh-CN"/>
        </w:rPr>
      </w:pPr>
      <w:r>
        <w:rPr>
          <w:rFonts w:hint="eastAsia" w:ascii="楷体" w:hAnsi="楷体" w:eastAsia="楷体" w:cs="Times New Roman"/>
          <w:b/>
          <w:sz w:val="32"/>
          <w:szCs w:val="32"/>
          <w:lang w:eastAsia="zh-CN"/>
        </w:rPr>
        <w:t>（二）分项绩效目标</w:t>
      </w:r>
    </w:p>
    <w:p>
      <w:pPr>
        <w:autoSpaceDE w:val="0"/>
        <w:autoSpaceDN w:val="0"/>
        <w:adjustRightInd w:val="0"/>
        <w:spacing w:line="584" w:lineRule="exact"/>
        <w:ind w:firstLine="960" w:firstLineChars="300"/>
        <w:jc w:val="left"/>
        <w:rPr>
          <w:rFonts w:ascii="仿宋" w:hAnsi="仿宋" w:eastAsia="仿宋" w:cs="Times New Roman"/>
          <w:sz w:val="32"/>
          <w:szCs w:val="32"/>
          <w:highlight w:val="none"/>
        </w:rPr>
      </w:pPr>
      <w:r>
        <w:rPr>
          <w:rFonts w:hint="eastAsia" w:ascii="仿宋" w:hAnsi="仿宋" w:eastAsia="仿宋" w:cs="Times New Roman"/>
          <w:sz w:val="32"/>
          <w:szCs w:val="32"/>
          <w:highlight w:val="none"/>
          <w:lang w:val="en-US" w:eastAsia="zh-CN"/>
        </w:rPr>
        <w:t>1、</w:t>
      </w:r>
      <w:r>
        <w:rPr>
          <w:rFonts w:ascii="仿宋" w:hAnsi="仿宋" w:eastAsia="仿宋" w:cs="Times New Roman"/>
          <w:sz w:val="32"/>
          <w:szCs w:val="32"/>
          <w:highlight w:val="none"/>
        </w:rPr>
        <w:t>领导、组织、指导全县政法工作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绩效目标：通过保障机关正常运转，重点推进过硬队伍建设，全面提升平安大厂、法治大厂建设水平，维护全县社会和谐安全稳定，为大厂县经济社会发展保驾护航。</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绩效指标：为机关正常开展工作提供必要的办公条件，保障各科室正常工作开展；维护政法四级网光纤传输数量42节点，实现县政法网节点联通和业务顺利开展，联系、指导见义勇为工作协会有关工作。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hint="eastAsia" w:ascii="仿宋" w:hAnsi="仿宋" w:eastAsia="仿宋" w:cs="Times New Roman"/>
          <w:sz w:val="32"/>
          <w:szCs w:val="32"/>
          <w:highlight w:val="none"/>
          <w:lang w:val="en-US" w:eastAsia="zh-CN"/>
        </w:rPr>
        <w:t>2、</w:t>
      </w:r>
      <w:r>
        <w:rPr>
          <w:rFonts w:ascii="仿宋" w:hAnsi="仿宋" w:eastAsia="仿宋" w:cs="Times New Roman"/>
          <w:sz w:val="32"/>
          <w:szCs w:val="32"/>
          <w:highlight w:val="none"/>
        </w:rPr>
        <w:t>组织协调指导全县维护稳定工作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绩效目标：负责组织、协调、指导全县维护稳定工作，指导有关部门依法处置影响社会稳定的各种突发事件和群体性事件。</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绩效指标：重大活动突发事件发生率0%，确保重大活动、重要时段和重要节点的绝对安全。</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hint="eastAsia" w:ascii="仿宋" w:hAnsi="仿宋" w:eastAsia="仿宋" w:cs="Times New Roman"/>
          <w:sz w:val="32"/>
          <w:szCs w:val="32"/>
          <w:highlight w:val="none"/>
          <w:lang w:val="en-US" w:eastAsia="zh-CN"/>
        </w:rPr>
        <w:t>3、</w:t>
      </w:r>
      <w:r>
        <w:rPr>
          <w:rFonts w:ascii="仿宋" w:hAnsi="仿宋" w:eastAsia="仿宋" w:cs="Times New Roman"/>
          <w:sz w:val="32"/>
          <w:szCs w:val="32"/>
          <w:highlight w:val="none"/>
        </w:rPr>
        <w:t>组织、协调、指导全县社会治安综合治理工作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绩效目标：负责推动开展基层平安创建活动，深入开展扫黑除恶专项斗争、社会治安重点地区和突出治安问题排查整治、社会治安防控体系建设；组织推动“雪亮工程”建设，加强综治信息系统、综治视联网建设，建立各级综治中心。</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绩效指标：农村治安保险户数不少于3.32万户，确保社会治安综合治理工作；深化综治信息化建设，运行维修四级网络设备正常运转；提高护路宣传力度，暑期、两会安保7个岗亭预计需要安保人员数量不少于3300人，做好重要时期的铁路安全保卫工作，确保铁路沿线治安持续稳定和铁路绝对安全；见义勇为基金发放人次1人以上，确保做到100%应发尽发。</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hint="eastAsia" w:ascii="仿宋" w:hAnsi="仿宋" w:eastAsia="仿宋" w:cs="Times New Roman"/>
          <w:sz w:val="32"/>
          <w:szCs w:val="32"/>
          <w:highlight w:val="none"/>
          <w:lang w:val="en-US" w:eastAsia="zh-CN"/>
        </w:rPr>
        <w:t>4、</w:t>
      </w:r>
      <w:r>
        <w:rPr>
          <w:rFonts w:ascii="仿宋" w:hAnsi="仿宋" w:eastAsia="仿宋" w:cs="Times New Roman"/>
          <w:sz w:val="32"/>
          <w:szCs w:val="32"/>
          <w:highlight w:val="none"/>
        </w:rPr>
        <w:t>反邪教协调工作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绩效目标：实现省委政法委“六防目标”，同时在全社会营造良好的反邪氛围，进一部提升反邪教工作整体水平和效能。</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绩效指标：定制反邪教宣传物品5种，完成“六个不发生”目标，确保邪教问题不成为影响国家政治安全和社会稳定的突出因素。</w:t>
      </w: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lang w:eastAsia="zh-CN"/>
        </w:rPr>
        <w:t>（</w:t>
      </w:r>
      <w:r>
        <w:rPr>
          <w:rFonts w:hint="eastAsia" w:ascii="楷体" w:hAnsi="楷体" w:eastAsia="楷体" w:cs="Times New Roman"/>
          <w:b/>
          <w:sz w:val="32"/>
          <w:szCs w:val="32"/>
        </w:rPr>
        <w:t>三</w:t>
      </w:r>
      <w:r>
        <w:rPr>
          <w:rFonts w:hint="eastAsia" w:ascii="楷体" w:hAnsi="楷体" w:eastAsia="楷体" w:cs="Times New Roman"/>
          <w:b/>
          <w:sz w:val="32"/>
          <w:szCs w:val="32"/>
          <w:lang w:eastAsia="zh-CN"/>
        </w:rPr>
        <w:t>）</w:t>
      </w:r>
      <w:r>
        <w:rPr>
          <w:rFonts w:hint="eastAsia" w:ascii="楷体" w:hAnsi="楷体" w:eastAsia="楷体" w:cs="Times New Roman"/>
          <w:b/>
          <w:sz w:val="32"/>
          <w:szCs w:val="32"/>
        </w:rPr>
        <w:t>工作保障措施</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2022年，以习近平新时代中国特色社会主义思想为指导，遵循中央、省、市关于政法综治维稳工作的新要求、新思路、新理念，提高现代科技应用水平、深化司法体制改革、健全各级各有关部门相关责任体系、加强政法队伍建设等四个方面为根本保障，提高工作预见性和前瞻性，提高工作落实力和执行力，提高新形势下政法综治维稳工作能力和水平，为全县经济社会发展营造安全稳定的社会环境、公正规范的法治环境。</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hint="eastAsia" w:ascii="仿宋" w:hAnsi="仿宋" w:eastAsia="仿宋" w:cs="Times New Roman"/>
          <w:sz w:val="32"/>
          <w:szCs w:val="32"/>
          <w:highlight w:val="none"/>
          <w:lang w:val="en-US" w:eastAsia="zh-CN"/>
        </w:rPr>
        <w:t>一是</w:t>
      </w:r>
      <w:r>
        <w:rPr>
          <w:rFonts w:ascii="仿宋" w:hAnsi="仿宋" w:eastAsia="仿宋" w:cs="Times New Roman"/>
          <w:sz w:val="32"/>
          <w:szCs w:val="32"/>
          <w:highlight w:val="none"/>
        </w:rPr>
        <w:t>抓好“三位一体”调解工作体系深化延伸。依托县、乡、村三级调解网络，进一步完善工作机制，改进工作做法，充实队伍，积极开展工作，加强对矛盾纠纷和信访苗条隐患的排除调处，解决问题，化解矛盾，预防和妥善处置群体性事件，全力维护社会稳定。</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hint="eastAsia" w:ascii="仿宋" w:hAnsi="仿宋" w:eastAsia="仿宋" w:cs="Times New Roman"/>
          <w:sz w:val="32"/>
          <w:szCs w:val="32"/>
          <w:highlight w:val="none"/>
          <w:lang w:val="en-US" w:eastAsia="zh-CN"/>
        </w:rPr>
        <w:t>二是</w:t>
      </w:r>
      <w:r>
        <w:rPr>
          <w:rFonts w:ascii="仿宋" w:hAnsi="仿宋" w:eastAsia="仿宋" w:cs="Times New Roman"/>
          <w:sz w:val="32"/>
          <w:szCs w:val="32"/>
          <w:highlight w:val="none"/>
        </w:rPr>
        <w:t>加强政法队伍建设。开展执法大培训，提高执法能力；加强执法监督，推进执法规范化建设，预防和减少违法违纪问题发生，促进公正执法；落实政策，提供保障，坚持从优待警，继续落实干警年休假制度、体检制度、生活困难干警资助制度，不断改善和提高干警待遇和保障。</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4997" w:type="pct"/>
        <w:tblInd w:w="0" w:type="dxa"/>
        <w:tblLayout w:type="fixed"/>
        <w:tblCellMar>
          <w:top w:w="0" w:type="dxa"/>
          <w:left w:w="108" w:type="dxa"/>
          <w:bottom w:w="0" w:type="dxa"/>
          <w:right w:w="108" w:type="dxa"/>
        </w:tblCellMar>
      </w:tblPr>
      <w:tblGrid>
        <w:gridCol w:w="2090"/>
        <w:gridCol w:w="2010"/>
        <w:gridCol w:w="1851"/>
        <w:gridCol w:w="2072"/>
        <w:gridCol w:w="1866"/>
        <w:gridCol w:w="1099"/>
        <w:gridCol w:w="1173"/>
        <w:gridCol w:w="1173"/>
        <w:gridCol w:w="1672"/>
      </w:tblGrid>
      <w:tr>
        <w:tblPrEx>
          <w:tblCellMar>
            <w:top w:w="0" w:type="dxa"/>
            <w:left w:w="108" w:type="dxa"/>
            <w:bottom w:w="0" w:type="dxa"/>
            <w:right w:w="108" w:type="dxa"/>
          </w:tblCellMar>
        </w:tblPrEx>
        <w:trPr>
          <w:trHeight w:val="600" w:hRule="atLeast"/>
        </w:trPr>
        <w:tc>
          <w:tcPr>
            <w:tcW w:w="6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一级指标</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二级指标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三级指标</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评（扣）分标准</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绩效指标描述</w:t>
            </w:r>
          </w:p>
        </w:tc>
        <w:tc>
          <w:tcPr>
            <w:tcW w:w="11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指标值</w:t>
            </w: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指标值确定依据</w:t>
            </w:r>
          </w:p>
        </w:tc>
      </w:tr>
      <w:tr>
        <w:tblPrEx>
          <w:tblCellMar>
            <w:top w:w="0" w:type="dxa"/>
            <w:left w:w="108" w:type="dxa"/>
            <w:bottom w:w="0" w:type="dxa"/>
            <w:right w:w="108" w:type="dxa"/>
          </w:tblCellMar>
        </w:tblPrEx>
        <w:trPr>
          <w:trHeight w:val="60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符号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值</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符号</w:t>
            </w: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r>
      <w:tr>
        <w:tblPrEx>
          <w:tblCellMar>
            <w:top w:w="0" w:type="dxa"/>
            <w:left w:w="108" w:type="dxa"/>
            <w:bottom w:w="0" w:type="dxa"/>
            <w:right w:w="108" w:type="dxa"/>
          </w:tblCellMar>
        </w:tblPrEx>
        <w:trPr>
          <w:trHeight w:val="800" w:hRule="atLeast"/>
        </w:trPr>
        <w:tc>
          <w:tcPr>
            <w:tcW w:w="6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部门产出</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数量</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网格系统维护</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每减少一个系统模块扣数量指标1%，未维护模块高于20%得0分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雪亮安防工程网格系统维护</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1</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套</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工作要求</w:t>
            </w:r>
          </w:p>
        </w:tc>
      </w:tr>
      <w:tr>
        <w:tblPrEx>
          <w:tblCellMar>
            <w:top w:w="0" w:type="dxa"/>
            <w:left w:w="108" w:type="dxa"/>
            <w:bottom w:w="0" w:type="dxa"/>
            <w:right w:w="108" w:type="dxa"/>
          </w:tblCellMar>
        </w:tblPrEx>
        <w:trPr>
          <w:trHeight w:val="76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光纤链路租赁数量</w:t>
            </w:r>
          </w:p>
        </w:tc>
        <w:tc>
          <w:tcPr>
            <w:tcW w:w="69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每减少一个减数量指标分值1%，少于1400个得0分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雪亮工程建设光纤链路租赁数量</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 xml:space="preserve"> =</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1629</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条</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摄像头正常运行需要</w:t>
            </w:r>
          </w:p>
        </w:tc>
      </w:tr>
      <w:tr>
        <w:tblPrEx>
          <w:tblCellMar>
            <w:top w:w="0" w:type="dxa"/>
            <w:left w:w="108" w:type="dxa"/>
            <w:bottom w:w="0" w:type="dxa"/>
            <w:right w:w="108" w:type="dxa"/>
          </w:tblCellMar>
        </w:tblPrEx>
        <w:trPr>
          <w:trHeight w:val="84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摄像头电力支持数量</w:t>
            </w:r>
          </w:p>
        </w:tc>
        <w:tc>
          <w:tcPr>
            <w:tcW w:w="69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每减少一个减数量指标分值1%，少于1400个得0分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雪亮工程建设监控摄像头电力支持数量</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 xml:space="preserve"> =</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1500</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摄像头正常运行需要</w:t>
            </w:r>
          </w:p>
        </w:tc>
      </w:tr>
      <w:tr>
        <w:tblPrEx>
          <w:tblCellMar>
            <w:top w:w="0" w:type="dxa"/>
            <w:left w:w="108" w:type="dxa"/>
            <w:bottom w:w="0" w:type="dxa"/>
            <w:right w:w="108" w:type="dxa"/>
          </w:tblCellMar>
        </w:tblPrEx>
        <w:trPr>
          <w:trHeight w:val="90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铁路护路安保人数</w:t>
            </w:r>
          </w:p>
        </w:tc>
        <w:tc>
          <w:tcPr>
            <w:tcW w:w="69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未完成目标数量，每减少指标值5%，减数量分值5%，完成率低于60%得0分。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暑期、两回安保7个岗亭预计需要安保人员数量</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2670</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人</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90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农村治安保险户数</w:t>
            </w:r>
          </w:p>
        </w:tc>
        <w:tc>
          <w:tcPr>
            <w:tcW w:w="69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每减少一人扣数量分值5%，低于3万户得0分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全县所有农村户数</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3.32</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万户</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90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质量</w:t>
            </w:r>
          </w:p>
        </w:tc>
        <w:tc>
          <w:tcPr>
            <w:tcW w:w="617"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正常运行比率</w:t>
            </w:r>
          </w:p>
        </w:tc>
        <w:tc>
          <w:tcPr>
            <w:tcW w:w="69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正常运行率≥98%得满分，每降低一个百分点扣质量分值1%，低于90%得0分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全县98%以上的治安视频监控摄像头7*24小时正常运转</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98</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百分比</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运维合同</w:t>
            </w:r>
          </w:p>
        </w:tc>
      </w:tr>
      <w:tr>
        <w:tblPrEx>
          <w:tblCellMar>
            <w:top w:w="0" w:type="dxa"/>
            <w:left w:w="108" w:type="dxa"/>
            <w:bottom w:w="0" w:type="dxa"/>
            <w:right w:w="108" w:type="dxa"/>
          </w:tblCellMar>
        </w:tblPrEx>
        <w:trPr>
          <w:trHeight w:val="90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投保覆盖率</w:t>
            </w:r>
          </w:p>
        </w:tc>
        <w:tc>
          <w:tcPr>
            <w:tcW w:w="69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每降低一个百分点扣指标分值1%，低于70%得0分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已参保人数占应参保人数的比率</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 xml:space="preserve"> =</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百分比</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76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重大安保任务完成率(%)</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每降低一个百分比减少质量分值1%，低于85%得0分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完成的安保任务占任务总数的比率</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 xml:space="preserve"> =</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百分比</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工作日志</w:t>
            </w:r>
          </w:p>
        </w:tc>
      </w:tr>
      <w:tr>
        <w:tblPrEx>
          <w:tblCellMar>
            <w:top w:w="0" w:type="dxa"/>
            <w:left w:w="108" w:type="dxa"/>
            <w:bottom w:w="0" w:type="dxa"/>
            <w:right w:w="108" w:type="dxa"/>
          </w:tblCellMar>
        </w:tblPrEx>
        <w:trPr>
          <w:trHeight w:val="72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时效</w:t>
            </w:r>
          </w:p>
        </w:tc>
        <w:tc>
          <w:tcPr>
            <w:tcW w:w="617"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系统正常运行天数</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每累计减少1天，扣时效分值10%，累计减少超过5天，得0分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投入使用系统正常运行天数</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 xml:space="preserve"> =</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365</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天</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72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隐患排查周期</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值班时长累计每减少1天，分点扣1%，累计减少50天，得0分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隐患排查周期</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89</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天</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88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成本</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网格系统维护价格</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单位成本每偏离指标值1%，减成本分值10%，偏离超过10%得0分。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网格系统维护价格</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371.68</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万元</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92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光纤链路租赁单价</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单位成本每偏离指标值1%，减成本分值10%，偏离超过10%得0分。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光纤链路租赁单价</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865.1</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元</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90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摄像头电力支持成本</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单位成本每偏离指标值1%，减成本分值10%，偏离超过10%得0分。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雪亮工程单个摄像头电力支持年度成本</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580</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元</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78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铁路护路安保人均费用</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成本每偏离1%扣指标分值10%，偏离超过10%得0分。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暑期、两会安保7个岗亭预计需要安保人员人均费用</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150</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元</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CellMar>
            <w:top w:w="0" w:type="dxa"/>
            <w:left w:w="108" w:type="dxa"/>
            <w:bottom w:w="0" w:type="dxa"/>
            <w:right w:w="108" w:type="dxa"/>
          </w:tblCellMar>
        </w:tblPrEx>
        <w:trPr>
          <w:trHeight w:val="78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每户缴纳保险金额</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成本每偏离1%扣指标分值10%，偏离超过10%得0分。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每户缴纳保险金额</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元</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现行市场价格</w:t>
            </w:r>
          </w:p>
        </w:tc>
      </w:tr>
      <w:tr>
        <w:tblPrEx>
          <w:tblCellMar>
            <w:top w:w="0" w:type="dxa"/>
            <w:left w:w="108" w:type="dxa"/>
            <w:bottom w:w="0" w:type="dxa"/>
            <w:right w:w="108" w:type="dxa"/>
          </w:tblCellMar>
        </w:tblPrEx>
        <w:trPr>
          <w:trHeight w:val="1200" w:hRule="atLeast"/>
        </w:trPr>
        <w:tc>
          <w:tcPr>
            <w:tcW w:w="6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部门效果</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社会效益</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提升治安实战能力</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效果显著得满分，效果一般得50%，没有效果得0分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通过“雪亮工程”视频监控的深度应用，在打击犯罪、维护社会治安</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文字描述</w:t>
            </w:r>
          </w:p>
        </w:tc>
        <w:tc>
          <w:tcPr>
            <w:tcW w:w="391" w:type="pct"/>
            <w:tcBorders>
              <w:top w:val="nil"/>
              <w:left w:val="nil"/>
              <w:bottom w:val="nil"/>
              <w:right w:val="nil"/>
            </w:tcBorders>
            <w:shd w:val="clear" w:color="auto" w:fill="auto"/>
            <w:noWrap/>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显著</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问卷调查</w:t>
            </w:r>
          </w:p>
        </w:tc>
      </w:tr>
      <w:tr>
        <w:tblPrEx>
          <w:tblCellMar>
            <w:top w:w="0" w:type="dxa"/>
            <w:left w:w="108" w:type="dxa"/>
            <w:bottom w:w="0" w:type="dxa"/>
            <w:right w:w="108" w:type="dxa"/>
          </w:tblCellMar>
        </w:tblPrEx>
        <w:trPr>
          <w:trHeight w:val="96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安保期间事故发生率</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无重大活动突发事件得满分，发生重大活动事件得0分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textAlignment w:val="top"/>
              <w:rPr>
                <w:rFonts w:ascii="宋体" w:hAnsi="宋体" w:cs="仿宋_GB2312"/>
                <w:color w:val="000000"/>
                <w:szCs w:val="21"/>
              </w:rPr>
            </w:pPr>
            <w:r>
              <w:rPr>
                <w:rFonts w:hint="eastAsia" w:ascii="宋体" w:hAnsi="宋体" w:cs="仿宋_GB2312"/>
                <w:color w:val="000000"/>
                <w:kern w:val="0"/>
                <w:szCs w:val="21"/>
              </w:rPr>
              <w:t>安保期间事故发生率与安保期的比值（反向指标）</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百分比</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工作日志</w:t>
            </w:r>
          </w:p>
        </w:tc>
      </w:tr>
      <w:tr>
        <w:tblPrEx>
          <w:tblCellMar>
            <w:top w:w="0" w:type="dxa"/>
            <w:left w:w="108" w:type="dxa"/>
            <w:bottom w:w="0" w:type="dxa"/>
            <w:right w:w="108" w:type="dxa"/>
          </w:tblCellMar>
        </w:tblPrEx>
        <w:trPr>
          <w:trHeight w:val="78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满意度</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综合满意度（%）</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满意度每降低5%，减满意度分值5%，满意度低于60%得0分。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县域居民满意度</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95</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百分比</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调查问卷</w:t>
            </w:r>
          </w:p>
        </w:tc>
      </w:tr>
      <w:tr>
        <w:tblPrEx>
          <w:tblCellMar>
            <w:top w:w="0" w:type="dxa"/>
            <w:left w:w="108" w:type="dxa"/>
            <w:bottom w:w="0" w:type="dxa"/>
            <w:right w:w="108" w:type="dxa"/>
          </w:tblCellMar>
        </w:tblPrEx>
        <w:trPr>
          <w:trHeight w:val="1020" w:hRule="atLeast"/>
        </w:trPr>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ascii="宋体" w:hAnsi="宋体" w:cs="仿宋_GB2312"/>
                <w:color w:val="000000"/>
                <w:szCs w:val="21"/>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公众安全感指数(%)</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≥95%得满分，低于95%，每下降一个百分点扣分值1%，低于80%得0分</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ascii="宋体" w:hAnsi="宋体" w:cs="仿宋_GB2312"/>
                <w:color w:val="000000"/>
                <w:szCs w:val="21"/>
              </w:rPr>
            </w:pPr>
            <w:r>
              <w:rPr>
                <w:rFonts w:hint="eastAsia" w:ascii="宋体" w:hAnsi="宋体" w:cs="仿宋_GB2312"/>
                <w:color w:val="000000"/>
                <w:kern w:val="0"/>
                <w:szCs w:val="21"/>
              </w:rPr>
              <w:t>对治安管理满意的人数査调查总人数的比率</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95</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百分比</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color w:val="000000"/>
                <w:szCs w:val="21"/>
              </w:rPr>
            </w:pPr>
            <w:r>
              <w:rPr>
                <w:rFonts w:hint="eastAsia" w:ascii="宋体" w:hAnsi="宋体" w:cs="仿宋_GB2312"/>
                <w:color w:val="000000"/>
                <w:kern w:val="0"/>
                <w:szCs w:val="21"/>
              </w:rPr>
              <w:t>问卷调查</w:t>
            </w:r>
          </w:p>
        </w:tc>
      </w:tr>
    </w:tbl>
    <w:p>
      <w:pPr>
        <w:ind w:firstLine="643" w:firstLineChars="200"/>
        <w:jc w:val="left"/>
        <w:rPr>
          <w:rFonts w:hint="eastAsia" w:hAnsi="宋体"/>
          <w:b/>
          <w:sz w:val="32"/>
        </w:rPr>
      </w:pPr>
      <w:r>
        <w:rPr>
          <w:rFonts w:hint="eastAsia" w:ascii="方正楷体_GBK" w:eastAsia="方正楷体_GBK"/>
          <w:b/>
          <w:sz w:val="32"/>
        </w:rPr>
        <w:t>第二部分</w:t>
      </w:r>
      <w:r>
        <w:rPr>
          <w:rFonts w:ascii="方正楷体_GBK" w:eastAsia="方正楷体_GBK"/>
          <w:b/>
          <w:sz w:val="32"/>
        </w:rPr>
        <w:t xml:space="preserve">  </w:t>
      </w:r>
      <w:r>
        <w:rPr>
          <w:rFonts w:hint="eastAsia" w:ascii="方正楷体_GBK" w:eastAsia="方正楷体_GBK"/>
          <w:b/>
          <w:sz w:val="32"/>
        </w:rPr>
        <w:t>资金绩效目标</w:t>
      </w:r>
    </w:p>
    <w:p>
      <w:pPr>
        <w:ind w:firstLine="560" w:firstLineChars="200"/>
        <w:jc w:val="left"/>
        <w:outlineLvl w:val="1"/>
        <w:rPr>
          <w:rFonts w:ascii="仿宋" w:hAnsi="仿宋" w:eastAsia="仿宋" w:cs="Times New Roman"/>
          <w:sz w:val="28"/>
        </w:rPr>
      </w:pPr>
      <w:r>
        <w:rPr>
          <w:rFonts w:ascii="仿宋" w:hAnsi="仿宋" w:eastAsia="仿宋" w:cs="Times New Roman"/>
          <w:sz w:val="28"/>
        </w:rPr>
        <w:t>1、"群众说事，干部解题"工作经费绩效目标表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1.通过县“群众说事、干部解题”信息化平台正常运转，切实提升群众获得、幸福感、安全感，运用科技化手段，让群众足不出户解决身边大事小情。</w:t>
            </w:r>
          </w:p>
          <w:p>
            <w:pPr>
              <w:pStyle w:val="17"/>
              <w:keepNext w:val="0"/>
              <w:keepLines w:val="0"/>
              <w:suppressLineNumbers w:val="0"/>
              <w:spacing w:beforeAutospacing="0" w:afterAutospacing="0"/>
              <w:ind w:left="0" w:right="0"/>
            </w:pPr>
            <w:r>
              <w:t>2.通过项目的开展以畅通民意表达渠道、落实为民办事为导向，以民主法治为基础，扎实推进基层党建工作创新，推行村党支部领导的“群众说事”工作，强基层、打基础，强功能、提质量，进一步强化党组织在乡村治理和文明乡风建设中的领导和引领作用，全面提升党建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印制宣传册数量</w:t>
            </w:r>
          </w:p>
        </w:tc>
        <w:tc>
          <w:tcPr>
            <w:tcW w:w="2835" w:type="dxa"/>
            <w:vAlign w:val="center"/>
          </w:tcPr>
          <w:p>
            <w:pPr>
              <w:pStyle w:val="17"/>
              <w:keepNext w:val="0"/>
              <w:keepLines w:val="0"/>
              <w:suppressLineNumbers w:val="0"/>
              <w:spacing w:beforeAutospacing="0" w:afterAutospacing="0"/>
              <w:ind w:left="0" w:right="0"/>
            </w:pPr>
            <w:r>
              <w:t>印制宣传册数量</w:t>
            </w:r>
          </w:p>
        </w:tc>
        <w:tc>
          <w:tcPr>
            <w:tcW w:w="2551" w:type="dxa"/>
            <w:vAlign w:val="center"/>
          </w:tcPr>
          <w:p>
            <w:pPr>
              <w:pStyle w:val="17"/>
              <w:keepNext w:val="0"/>
              <w:keepLines w:val="0"/>
              <w:suppressLineNumbers w:val="0"/>
              <w:spacing w:beforeAutospacing="0" w:afterAutospacing="0"/>
              <w:ind w:left="0" w:right="0"/>
            </w:pPr>
            <w:r>
              <w:t>≥10000册</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印刷合格率</w:t>
            </w:r>
          </w:p>
        </w:tc>
        <w:tc>
          <w:tcPr>
            <w:tcW w:w="2835" w:type="dxa"/>
            <w:vAlign w:val="center"/>
          </w:tcPr>
          <w:p>
            <w:pPr>
              <w:pStyle w:val="17"/>
              <w:keepNext w:val="0"/>
              <w:keepLines w:val="0"/>
              <w:suppressLineNumbers w:val="0"/>
              <w:spacing w:beforeAutospacing="0" w:afterAutospacing="0"/>
              <w:ind w:left="0" w:right="0"/>
            </w:pPr>
            <w:r>
              <w:t>印刷合格率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宣传及时性</w:t>
            </w:r>
          </w:p>
        </w:tc>
        <w:tc>
          <w:tcPr>
            <w:tcW w:w="2835" w:type="dxa"/>
            <w:vAlign w:val="center"/>
          </w:tcPr>
          <w:p>
            <w:pPr>
              <w:pStyle w:val="17"/>
              <w:keepNext w:val="0"/>
              <w:keepLines w:val="0"/>
              <w:suppressLineNumbers w:val="0"/>
              <w:spacing w:beforeAutospacing="0" w:afterAutospacing="0"/>
              <w:ind w:left="0" w:right="0"/>
            </w:pPr>
            <w:r>
              <w:t>开展宣传活动</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《关于推进“群众说事，干部解题”机制建设的意见》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印制宣传册单价</w:t>
            </w:r>
          </w:p>
        </w:tc>
        <w:tc>
          <w:tcPr>
            <w:tcW w:w="2835" w:type="dxa"/>
            <w:vAlign w:val="center"/>
          </w:tcPr>
          <w:p>
            <w:pPr>
              <w:pStyle w:val="17"/>
              <w:keepNext w:val="0"/>
              <w:keepLines w:val="0"/>
              <w:suppressLineNumbers w:val="0"/>
              <w:spacing w:beforeAutospacing="0" w:afterAutospacing="0"/>
              <w:ind w:left="0" w:right="0"/>
            </w:pPr>
            <w:r>
              <w:t>印制宣传册单价</w:t>
            </w:r>
          </w:p>
        </w:tc>
        <w:tc>
          <w:tcPr>
            <w:tcW w:w="2551" w:type="dxa"/>
            <w:vAlign w:val="center"/>
          </w:tcPr>
          <w:p>
            <w:pPr>
              <w:pStyle w:val="17"/>
              <w:keepNext w:val="0"/>
              <w:keepLines w:val="0"/>
              <w:suppressLineNumbers w:val="0"/>
              <w:spacing w:beforeAutospacing="0" w:afterAutospacing="0"/>
              <w:ind w:left="0" w:right="0"/>
            </w:pPr>
            <w:r>
              <w:t>≤5元</w:t>
            </w:r>
          </w:p>
        </w:tc>
        <w:tc>
          <w:tcPr>
            <w:tcW w:w="2268" w:type="dxa"/>
            <w:vAlign w:val="center"/>
          </w:tcPr>
          <w:p>
            <w:pPr>
              <w:pStyle w:val="17"/>
              <w:keepNext w:val="0"/>
              <w:keepLines w:val="0"/>
              <w:suppressLineNumbers w:val="0"/>
              <w:spacing w:beforeAutospacing="0" w:afterAutospacing="0"/>
              <w:ind w:left="0" w:right="0"/>
            </w:pPr>
            <w: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知晓率</w:t>
            </w:r>
          </w:p>
        </w:tc>
        <w:tc>
          <w:tcPr>
            <w:tcW w:w="2835" w:type="dxa"/>
            <w:vAlign w:val="center"/>
          </w:tcPr>
          <w:p>
            <w:pPr>
              <w:pStyle w:val="17"/>
              <w:keepNext w:val="0"/>
              <w:keepLines w:val="0"/>
              <w:suppressLineNumbers w:val="0"/>
              <w:spacing w:beforeAutospacing="0" w:afterAutospacing="0"/>
              <w:ind w:left="0" w:right="0"/>
            </w:pPr>
            <w:r>
              <w:t>县域群众对“群众说事、干部解题”宣传的知晓率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实时数据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群众满意度</w:t>
            </w:r>
          </w:p>
        </w:tc>
        <w:tc>
          <w:tcPr>
            <w:tcW w:w="2835" w:type="dxa"/>
            <w:vAlign w:val="center"/>
          </w:tcPr>
          <w:p>
            <w:pPr>
              <w:pStyle w:val="17"/>
              <w:keepNext w:val="0"/>
              <w:keepLines w:val="0"/>
              <w:suppressLineNumbers w:val="0"/>
              <w:spacing w:beforeAutospacing="0" w:afterAutospacing="0"/>
              <w:ind w:left="0" w:right="0"/>
            </w:pPr>
            <w:r>
              <w:t>县镇（街道办、高新区）工作人员满意和较满意的人数占全部调查人数的比率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2、2022年“雪亮安防工程”运行维护费项目绩效目标表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1.通过我县“雪亮安防工程”平稳运行，为发挥“首都政治护城河”功能和确保全县的总体治安稳定保驾护航。</w:t>
            </w:r>
          </w:p>
          <w:p>
            <w:pPr>
              <w:pStyle w:val="17"/>
              <w:keepNext w:val="0"/>
              <w:keepLines w:val="0"/>
              <w:suppressLineNumbers w:val="0"/>
              <w:spacing w:beforeAutospacing="0" w:afterAutospacing="0"/>
              <w:ind w:left="0" w:right="0"/>
            </w:pPr>
            <w:r>
              <w:t>2.通过我县“雪亮安防工程”平稳运行，全县98%以上的治安视频监控摄像头7*24小时正常运转，努力建设大厂特色的社会治安防控体系，为发挥“首都政治护城河”功能和确保全县的总体治安稳定保驾护航。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网格系统维护数量</w:t>
            </w:r>
          </w:p>
        </w:tc>
        <w:tc>
          <w:tcPr>
            <w:tcW w:w="2835" w:type="dxa"/>
            <w:vAlign w:val="center"/>
          </w:tcPr>
          <w:p>
            <w:pPr>
              <w:pStyle w:val="17"/>
              <w:keepNext w:val="0"/>
              <w:keepLines w:val="0"/>
              <w:suppressLineNumbers w:val="0"/>
              <w:spacing w:beforeAutospacing="0" w:afterAutospacing="0"/>
              <w:ind w:left="0" w:right="0"/>
            </w:pPr>
            <w:r>
              <w:t>雪亮安防工程网格系统维护</w:t>
            </w:r>
          </w:p>
        </w:tc>
        <w:tc>
          <w:tcPr>
            <w:tcW w:w="2551" w:type="dxa"/>
            <w:vAlign w:val="center"/>
          </w:tcPr>
          <w:p>
            <w:pPr>
              <w:pStyle w:val="17"/>
              <w:keepNext w:val="0"/>
              <w:keepLines w:val="0"/>
              <w:suppressLineNumbers w:val="0"/>
              <w:spacing w:beforeAutospacing="0" w:afterAutospacing="0"/>
              <w:ind w:left="0" w:right="0"/>
            </w:pPr>
            <w:r>
              <w:t>1套</w:t>
            </w:r>
          </w:p>
        </w:tc>
        <w:tc>
          <w:tcPr>
            <w:tcW w:w="2268" w:type="dxa"/>
            <w:vAlign w:val="center"/>
          </w:tcPr>
          <w:p>
            <w:pPr>
              <w:pStyle w:val="17"/>
              <w:keepNext w:val="0"/>
              <w:keepLines w:val="0"/>
              <w:suppressLineNumbers w:val="0"/>
              <w:spacing w:beforeAutospacing="0" w:afterAutospacing="0"/>
              <w:ind w:left="0" w:right="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光纤链路租赁数量</w:t>
            </w:r>
          </w:p>
        </w:tc>
        <w:tc>
          <w:tcPr>
            <w:tcW w:w="2835" w:type="dxa"/>
            <w:vAlign w:val="center"/>
          </w:tcPr>
          <w:p>
            <w:pPr>
              <w:pStyle w:val="17"/>
              <w:keepNext w:val="0"/>
              <w:keepLines w:val="0"/>
              <w:suppressLineNumbers w:val="0"/>
              <w:spacing w:beforeAutospacing="0" w:afterAutospacing="0"/>
              <w:ind w:left="0" w:right="0"/>
            </w:pPr>
            <w:r>
              <w:t>雪亮工程建设光纤链路租赁数量</w:t>
            </w:r>
          </w:p>
        </w:tc>
        <w:tc>
          <w:tcPr>
            <w:tcW w:w="2551" w:type="dxa"/>
            <w:vAlign w:val="center"/>
          </w:tcPr>
          <w:p>
            <w:pPr>
              <w:pStyle w:val="17"/>
              <w:keepNext w:val="0"/>
              <w:keepLines w:val="0"/>
              <w:suppressLineNumbers w:val="0"/>
              <w:spacing w:beforeAutospacing="0" w:afterAutospacing="0"/>
              <w:ind w:left="0" w:right="0"/>
            </w:pPr>
            <w:r>
              <w:t xml:space="preserve"> =1629条</w:t>
            </w:r>
          </w:p>
        </w:tc>
        <w:tc>
          <w:tcPr>
            <w:tcW w:w="2268" w:type="dxa"/>
            <w:vAlign w:val="center"/>
          </w:tcPr>
          <w:p>
            <w:pPr>
              <w:pStyle w:val="17"/>
              <w:keepNext w:val="0"/>
              <w:keepLines w:val="0"/>
              <w:suppressLineNumbers w:val="0"/>
              <w:spacing w:beforeAutospacing="0" w:afterAutospacing="0"/>
              <w:ind w:left="0" w:right="0"/>
            </w:pPr>
            <w:r>
              <w:t>摄像头正常运行需要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摄像头电力支持数量</w:t>
            </w:r>
          </w:p>
        </w:tc>
        <w:tc>
          <w:tcPr>
            <w:tcW w:w="2835" w:type="dxa"/>
            <w:vAlign w:val="center"/>
          </w:tcPr>
          <w:p>
            <w:pPr>
              <w:pStyle w:val="17"/>
              <w:keepNext w:val="0"/>
              <w:keepLines w:val="0"/>
              <w:suppressLineNumbers w:val="0"/>
              <w:spacing w:beforeAutospacing="0" w:afterAutospacing="0"/>
              <w:ind w:left="0" w:right="0"/>
            </w:pPr>
            <w:r>
              <w:t>雪亮工程建设监控摄像头电力支持数量</w:t>
            </w:r>
          </w:p>
        </w:tc>
        <w:tc>
          <w:tcPr>
            <w:tcW w:w="2551" w:type="dxa"/>
            <w:vAlign w:val="center"/>
          </w:tcPr>
          <w:p>
            <w:pPr>
              <w:pStyle w:val="17"/>
              <w:keepNext w:val="0"/>
              <w:keepLines w:val="0"/>
              <w:suppressLineNumbers w:val="0"/>
              <w:spacing w:beforeAutospacing="0" w:afterAutospacing="0"/>
              <w:ind w:left="0" w:right="0"/>
            </w:pPr>
            <w:r>
              <w:t xml:space="preserve"> =1500个</w:t>
            </w:r>
          </w:p>
        </w:tc>
        <w:tc>
          <w:tcPr>
            <w:tcW w:w="2268" w:type="dxa"/>
            <w:vAlign w:val="center"/>
          </w:tcPr>
          <w:p>
            <w:pPr>
              <w:pStyle w:val="17"/>
              <w:keepNext w:val="0"/>
              <w:keepLines w:val="0"/>
              <w:suppressLineNumbers w:val="0"/>
              <w:spacing w:beforeAutospacing="0" w:afterAutospacing="0"/>
              <w:ind w:left="0" w:right="0"/>
            </w:pPr>
            <w:r>
              <w:t>摄像头正常运行需要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正常运行比率</w:t>
            </w:r>
          </w:p>
        </w:tc>
        <w:tc>
          <w:tcPr>
            <w:tcW w:w="2835" w:type="dxa"/>
            <w:vAlign w:val="center"/>
          </w:tcPr>
          <w:p>
            <w:pPr>
              <w:pStyle w:val="17"/>
              <w:keepNext w:val="0"/>
              <w:keepLines w:val="0"/>
              <w:suppressLineNumbers w:val="0"/>
              <w:spacing w:beforeAutospacing="0" w:afterAutospacing="0"/>
              <w:ind w:left="0" w:right="0"/>
            </w:pPr>
            <w:r>
              <w:t>全县98%以上的治安视频监控摄像头7*24小时正常运转</w:t>
            </w:r>
          </w:p>
        </w:tc>
        <w:tc>
          <w:tcPr>
            <w:tcW w:w="2551" w:type="dxa"/>
            <w:vAlign w:val="center"/>
          </w:tcPr>
          <w:p>
            <w:pPr>
              <w:pStyle w:val="17"/>
              <w:keepNext w:val="0"/>
              <w:keepLines w:val="0"/>
              <w:suppressLineNumbers w:val="0"/>
              <w:spacing w:beforeAutospacing="0" w:afterAutospacing="0"/>
              <w:ind w:left="0" w:right="0"/>
            </w:pPr>
            <w:r>
              <w:t>≥98百分比</w:t>
            </w:r>
          </w:p>
        </w:tc>
        <w:tc>
          <w:tcPr>
            <w:tcW w:w="2268" w:type="dxa"/>
            <w:vAlign w:val="center"/>
          </w:tcPr>
          <w:p>
            <w:pPr>
              <w:pStyle w:val="17"/>
              <w:keepNext w:val="0"/>
              <w:keepLines w:val="0"/>
              <w:suppressLineNumbers w:val="0"/>
              <w:spacing w:beforeAutospacing="0" w:afterAutospacing="0"/>
              <w:ind w:left="0" w:right="0"/>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系统正常运行天数</w:t>
            </w:r>
          </w:p>
        </w:tc>
        <w:tc>
          <w:tcPr>
            <w:tcW w:w="2835" w:type="dxa"/>
            <w:vAlign w:val="center"/>
          </w:tcPr>
          <w:p>
            <w:pPr>
              <w:pStyle w:val="17"/>
              <w:keepNext w:val="0"/>
              <w:keepLines w:val="0"/>
              <w:suppressLineNumbers w:val="0"/>
              <w:spacing w:beforeAutospacing="0" w:afterAutospacing="0"/>
              <w:ind w:left="0" w:right="0"/>
            </w:pPr>
            <w:r>
              <w:t>投入使用系统正常运行天数</w:t>
            </w:r>
          </w:p>
        </w:tc>
        <w:tc>
          <w:tcPr>
            <w:tcW w:w="2551" w:type="dxa"/>
            <w:vAlign w:val="center"/>
          </w:tcPr>
          <w:p>
            <w:pPr>
              <w:pStyle w:val="17"/>
              <w:keepNext w:val="0"/>
              <w:keepLines w:val="0"/>
              <w:suppressLineNumbers w:val="0"/>
              <w:spacing w:beforeAutospacing="0" w:afterAutospacing="0"/>
              <w:ind w:left="0" w:right="0"/>
            </w:pPr>
            <w:r>
              <w:t xml:space="preserve"> =365天</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网格系统维护价格</w:t>
            </w:r>
          </w:p>
        </w:tc>
        <w:tc>
          <w:tcPr>
            <w:tcW w:w="2835" w:type="dxa"/>
            <w:vAlign w:val="center"/>
          </w:tcPr>
          <w:p>
            <w:pPr>
              <w:pStyle w:val="17"/>
              <w:keepNext w:val="0"/>
              <w:keepLines w:val="0"/>
              <w:suppressLineNumbers w:val="0"/>
              <w:spacing w:beforeAutospacing="0" w:afterAutospacing="0"/>
              <w:ind w:left="0" w:right="0"/>
            </w:pPr>
            <w:r>
              <w:t>网格系统维护价格</w:t>
            </w:r>
          </w:p>
        </w:tc>
        <w:tc>
          <w:tcPr>
            <w:tcW w:w="2551" w:type="dxa"/>
            <w:vAlign w:val="center"/>
          </w:tcPr>
          <w:p>
            <w:pPr>
              <w:pStyle w:val="17"/>
              <w:keepNext w:val="0"/>
              <w:keepLines w:val="0"/>
              <w:suppressLineNumbers w:val="0"/>
              <w:spacing w:beforeAutospacing="0" w:afterAutospacing="0"/>
              <w:ind w:left="0" w:right="0"/>
            </w:pPr>
            <w:r>
              <w:t>≤371.68万元</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光纤链路租赁单价</w:t>
            </w:r>
          </w:p>
        </w:tc>
        <w:tc>
          <w:tcPr>
            <w:tcW w:w="2835" w:type="dxa"/>
            <w:vAlign w:val="center"/>
          </w:tcPr>
          <w:p>
            <w:pPr>
              <w:pStyle w:val="17"/>
              <w:keepNext w:val="0"/>
              <w:keepLines w:val="0"/>
              <w:suppressLineNumbers w:val="0"/>
              <w:spacing w:beforeAutospacing="0" w:afterAutospacing="0"/>
              <w:ind w:left="0" w:right="0"/>
            </w:pPr>
            <w:r>
              <w:t>光纤链路租赁单价</w:t>
            </w:r>
          </w:p>
        </w:tc>
        <w:tc>
          <w:tcPr>
            <w:tcW w:w="2551" w:type="dxa"/>
            <w:vAlign w:val="center"/>
          </w:tcPr>
          <w:p>
            <w:pPr>
              <w:pStyle w:val="17"/>
              <w:keepNext w:val="0"/>
              <w:keepLines w:val="0"/>
              <w:suppressLineNumbers w:val="0"/>
              <w:spacing w:beforeAutospacing="0" w:afterAutospacing="0"/>
              <w:ind w:left="0" w:right="0"/>
            </w:pPr>
            <w:r>
              <w:t>≤865.1元</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摄像头电力支持成本</w:t>
            </w:r>
          </w:p>
        </w:tc>
        <w:tc>
          <w:tcPr>
            <w:tcW w:w="2835" w:type="dxa"/>
            <w:vAlign w:val="center"/>
          </w:tcPr>
          <w:p>
            <w:pPr>
              <w:pStyle w:val="17"/>
              <w:keepNext w:val="0"/>
              <w:keepLines w:val="0"/>
              <w:suppressLineNumbers w:val="0"/>
              <w:spacing w:beforeAutospacing="0" w:afterAutospacing="0"/>
              <w:ind w:left="0" w:right="0"/>
            </w:pPr>
            <w:r>
              <w:t>雪亮工程单个摄像头电力支持年度成本</w:t>
            </w:r>
          </w:p>
        </w:tc>
        <w:tc>
          <w:tcPr>
            <w:tcW w:w="2551" w:type="dxa"/>
            <w:vAlign w:val="center"/>
          </w:tcPr>
          <w:p>
            <w:pPr>
              <w:pStyle w:val="17"/>
              <w:keepNext w:val="0"/>
              <w:keepLines w:val="0"/>
              <w:suppressLineNumbers w:val="0"/>
              <w:spacing w:beforeAutospacing="0" w:afterAutospacing="0"/>
              <w:ind w:left="0" w:right="0"/>
            </w:pPr>
            <w:r>
              <w:t>≤580元</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提升治安实战能力，效果显著</w:t>
            </w:r>
          </w:p>
        </w:tc>
        <w:tc>
          <w:tcPr>
            <w:tcW w:w="2835" w:type="dxa"/>
            <w:vAlign w:val="center"/>
          </w:tcPr>
          <w:p>
            <w:pPr>
              <w:pStyle w:val="17"/>
              <w:keepNext w:val="0"/>
              <w:keepLines w:val="0"/>
              <w:suppressLineNumbers w:val="0"/>
              <w:spacing w:beforeAutospacing="0" w:afterAutospacing="0"/>
              <w:ind w:left="0" w:right="0"/>
            </w:pPr>
            <w:r>
              <w:t>通过“雪亮工程”视频监控的深度应用，在打击犯罪、维护社会治安</w:t>
            </w:r>
          </w:p>
        </w:tc>
        <w:tc>
          <w:tcPr>
            <w:tcW w:w="2551" w:type="dxa"/>
            <w:vAlign w:val="center"/>
          </w:tcPr>
          <w:p>
            <w:pPr>
              <w:pStyle w:val="17"/>
              <w:keepNext w:val="0"/>
              <w:keepLines w:val="0"/>
              <w:suppressLineNumbers w:val="0"/>
              <w:spacing w:beforeAutospacing="0" w:afterAutospacing="0"/>
              <w:ind w:left="0" w:right="0"/>
            </w:pPr>
            <w:r>
              <w:t>显著</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综合满意度（%）</w:t>
            </w:r>
          </w:p>
        </w:tc>
        <w:tc>
          <w:tcPr>
            <w:tcW w:w="2835" w:type="dxa"/>
            <w:vAlign w:val="center"/>
          </w:tcPr>
          <w:p>
            <w:pPr>
              <w:pStyle w:val="17"/>
              <w:keepNext w:val="0"/>
              <w:keepLines w:val="0"/>
              <w:suppressLineNumbers w:val="0"/>
              <w:spacing w:beforeAutospacing="0" w:afterAutospacing="0"/>
              <w:ind w:left="0" w:right="0"/>
            </w:pPr>
            <w:r>
              <w:t>县域居民满意度</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p>
            <w:pPr>
              <w:pStyle w:val="17"/>
              <w:keepNext w:val="0"/>
              <w:keepLines w:val="0"/>
              <w:suppressLineNumbers w:val="0"/>
              <w:spacing w:beforeAutospacing="0" w:afterAutospacing="0"/>
              <w:ind w:left="0" w:right="0"/>
            </w:pP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3、“群众说事，干部解题”信息化平台运行维护费项目绩效目标表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项目的开展以畅通民意表达渠道、落实为民办事为导向，以民主法治为基础，扎实推进基层党建工作创新，推行村党支部领导的“群众说事”工作，强基层、打基础，强功能、提质量，进一步强化党组织在乡村治理和文明乡风建设中的领导和引领作用，全面提升党建工作水平。</w:t>
            </w:r>
          </w:p>
          <w:p>
            <w:pPr>
              <w:pStyle w:val="17"/>
              <w:keepNext w:val="0"/>
              <w:keepLines w:val="0"/>
              <w:suppressLineNumbers w:val="0"/>
              <w:spacing w:beforeAutospacing="0" w:afterAutospacing="0"/>
              <w:ind w:left="0" w:right="0"/>
            </w:pPr>
            <w:r>
              <w:t>2.通过县“群众说事、干部解题”信息化平台正常运转，切实提升群众获得、幸福感、安全感，运用科技化手段，让群众足不出户解决身边大事小情。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平台运行维护数量</w:t>
            </w:r>
          </w:p>
        </w:tc>
        <w:tc>
          <w:tcPr>
            <w:tcW w:w="2835" w:type="dxa"/>
            <w:vAlign w:val="center"/>
          </w:tcPr>
          <w:p>
            <w:pPr>
              <w:pStyle w:val="17"/>
              <w:keepNext w:val="0"/>
              <w:keepLines w:val="0"/>
              <w:suppressLineNumbers w:val="0"/>
              <w:spacing w:beforeAutospacing="0" w:afterAutospacing="0"/>
              <w:ind w:left="0" w:right="0"/>
            </w:pPr>
            <w:r>
              <w:t>对5个乡镇，1个街道办事处、1个高新区说事解题工作进行监督指挥</w:t>
            </w:r>
          </w:p>
        </w:tc>
        <w:tc>
          <w:tcPr>
            <w:tcW w:w="2551" w:type="dxa"/>
            <w:vAlign w:val="center"/>
          </w:tcPr>
          <w:p>
            <w:pPr>
              <w:pStyle w:val="17"/>
              <w:keepNext w:val="0"/>
              <w:keepLines w:val="0"/>
              <w:suppressLineNumbers w:val="0"/>
              <w:spacing w:beforeAutospacing="0" w:afterAutospacing="0"/>
              <w:ind w:left="0" w:right="0"/>
            </w:pPr>
            <w:r>
              <w:t>≥7个</w:t>
            </w:r>
          </w:p>
        </w:tc>
        <w:tc>
          <w:tcPr>
            <w:tcW w:w="2268" w:type="dxa"/>
            <w:vAlign w:val="center"/>
          </w:tcPr>
          <w:p>
            <w:pPr>
              <w:pStyle w:val="17"/>
              <w:keepNext w:val="0"/>
              <w:keepLines w:val="0"/>
              <w:suppressLineNumbers w:val="0"/>
              <w:spacing w:beforeAutospacing="0" w:afterAutospacing="0"/>
              <w:ind w:left="0" w:right="0"/>
            </w:pPr>
            <w:r>
              <w:t>《关于推进“群众说事，干部解题”机制建设的意见》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系统正常运行</w:t>
            </w:r>
          </w:p>
        </w:tc>
        <w:tc>
          <w:tcPr>
            <w:tcW w:w="2835" w:type="dxa"/>
            <w:vAlign w:val="center"/>
          </w:tcPr>
          <w:p>
            <w:pPr>
              <w:pStyle w:val="17"/>
              <w:keepNext w:val="0"/>
              <w:keepLines w:val="0"/>
              <w:suppressLineNumbers w:val="0"/>
              <w:spacing w:beforeAutospacing="0" w:afterAutospacing="0"/>
              <w:ind w:left="0" w:right="0"/>
            </w:pPr>
            <w:r>
              <w:t>正常运行天数与运行总天数比率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系统正常使用时间</w:t>
            </w:r>
          </w:p>
        </w:tc>
        <w:tc>
          <w:tcPr>
            <w:tcW w:w="2835" w:type="dxa"/>
            <w:vAlign w:val="center"/>
          </w:tcPr>
          <w:p>
            <w:pPr>
              <w:pStyle w:val="17"/>
              <w:keepNext w:val="0"/>
              <w:keepLines w:val="0"/>
              <w:suppressLineNumbers w:val="0"/>
              <w:spacing w:beforeAutospacing="0" w:afterAutospacing="0"/>
              <w:ind w:left="0" w:right="0"/>
            </w:pPr>
            <w:r>
              <w:t>系统正常使用时间</w:t>
            </w:r>
          </w:p>
        </w:tc>
        <w:tc>
          <w:tcPr>
            <w:tcW w:w="2551" w:type="dxa"/>
            <w:vAlign w:val="center"/>
          </w:tcPr>
          <w:p>
            <w:pPr>
              <w:pStyle w:val="17"/>
              <w:keepNext w:val="0"/>
              <w:keepLines w:val="0"/>
              <w:suppressLineNumbers w:val="0"/>
              <w:spacing w:beforeAutospacing="0" w:afterAutospacing="0"/>
              <w:ind w:left="0" w:right="0"/>
            </w:pPr>
            <w:r>
              <w:t>≤5月份</w:t>
            </w:r>
          </w:p>
        </w:tc>
        <w:tc>
          <w:tcPr>
            <w:tcW w:w="2268" w:type="dxa"/>
            <w:vAlign w:val="center"/>
          </w:tcPr>
          <w:p>
            <w:pPr>
              <w:pStyle w:val="17"/>
              <w:keepNext w:val="0"/>
              <w:keepLines w:val="0"/>
              <w:suppressLineNumbers w:val="0"/>
              <w:spacing w:beforeAutospacing="0" w:afterAutospacing="0"/>
              <w:ind w:left="0" w:right="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技术运维费用</w:t>
            </w:r>
          </w:p>
        </w:tc>
        <w:tc>
          <w:tcPr>
            <w:tcW w:w="2835" w:type="dxa"/>
            <w:vAlign w:val="center"/>
          </w:tcPr>
          <w:p>
            <w:pPr>
              <w:pStyle w:val="17"/>
              <w:keepNext w:val="0"/>
              <w:keepLines w:val="0"/>
              <w:suppressLineNumbers w:val="0"/>
              <w:spacing w:beforeAutospacing="0" w:afterAutospacing="0"/>
              <w:ind w:left="0" w:right="0"/>
            </w:pPr>
            <w:r>
              <w:t>技术运维服务成本</w:t>
            </w:r>
          </w:p>
        </w:tc>
        <w:tc>
          <w:tcPr>
            <w:tcW w:w="2551" w:type="dxa"/>
            <w:vAlign w:val="center"/>
          </w:tcPr>
          <w:p>
            <w:pPr>
              <w:pStyle w:val="17"/>
              <w:keepNext w:val="0"/>
              <w:keepLines w:val="0"/>
              <w:suppressLineNumbers w:val="0"/>
              <w:spacing w:beforeAutospacing="0" w:afterAutospacing="0"/>
              <w:ind w:left="0" w:right="0"/>
            </w:pPr>
            <w:r>
              <w:t>≤6万元</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提高管理人员管理时间节省率</w:t>
            </w:r>
          </w:p>
        </w:tc>
        <w:tc>
          <w:tcPr>
            <w:tcW w:w="2835" w:type="dxa"/>
            <w:vAlign w:val="center"/>
          </w:tcPr>
          <w:p>
            <w:pPr>
              <w:pStyle w:val="17"/>
              <w:keepNext w:val="0"/>
              <w:keepLines w:val="0"/>
              <w:suppressLineNumbers w:val="0"/>
              <w:spacing w:beforeAutospacing="0" w:afterAutospacing="0"/>
              <w:ind w:left="0" w:right="0"/>
            </w:pPr>
            <w:r>
              <w:t>项目实施后管理人员管理时间节省时间与项目实施前管理人员管理的平均时间的比率</w:t>
            </w:r>
          </w:p>
        </w:tc>
        <w:tc>
          <w:tcPr>
            <w:tcW w:w="2551" w:type="dxa"/>
            <w:vAlign w:val="center"/>
          </w:tcPr>
          <w:p>
            <w:pPr>
              <w:pStyle w:val="17"/>
              <w:keepNext w:val="0"/>
              <w:keepLines w:val="0"/>
              <w:suppressLineNumbers w:val="0"/>
              <w:spacing w:beforeAutospacing="0" w:afterAutospacing="0"/>
              <w:ind w:left="0" w:right="0"/>
            </w:pPr>
            <w:r>
              <w:t>≥90百分比</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办公人员的满意度</w:t>
            </w:r>
          </w:p>
        </w:tc>
        <w:tc>
          <w:tcPr>
            <w:tcW w:w="2835" w:type="dxa"/>
            <w:vAlign w:val="center"/>
          </w:tcPr>
          <w:p>
            <w:pPr>
              <w:pStyle w:val="17"/>
              <w:keepNext w:val="0"/>
              <w:keepLines w:val="0"/>
              <w:suppressLineNumbers w:val="0"/>
              <w:spacing w:beforeAutospacing="0" w:afterAutospacing="0"/>
              <w:ind w:left="0" w:right="0"/>
            </w:pPr>
            <w:r>
              <w:t>考察县镇（街道办、高新区）工作人员满意和较满意的人数占全部调查人数的比率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4、大厂县农村治安保险金项目绩效目标表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1.缴纳全县3.3273万户农村治安保险金。按照每户10元标准缴纳。</w:t>
            </w:r>
          </w:p>
          <w:p>
            <w:pPr>
              <w:pStyle w:val="17"/>
              <w:keepNext w:val="0"/>
              <w:keepLines w:val="0"/>
              <w:suppressLineNumbers w:val="0"/>
              <w:spacing w:beforeAutospacing="0" w:afterAutospacing="0"/>
              <w:ind w:left="0" w:right="0"/>
            </w:pPr>
            <w:r>
              <w:t>2.按照每户10元标准，为全县3.3273万户农村居民缴纳农村治安保险金，利用保险方式减少群众财产损失。</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参保户数</w:t>
            </w:r>
          </w:p>
        </w:tc>
        <w:tc>
          <w:tcPr>
            <w:tcW w:w="2835" w:type="dxa"/>
            <w:vAlign w:val="center"/>
          </w:tcPr>
          <w:p>
            <w:pPr>
              <w:pStyle w:val="17"/>
              <w:keepNext w:val="0"/>
              <w:keepLines w:val="0"/>
              <w:suppressLineNumbers w:val="0"/>
              <w:spacing w:beforeAutospacing="0" w:afterAutospacing="0"/>
              <w:ind w:left="0" w:right="0"/>
            </w:pPr>
            <w:r>
              <w:t>全县所有农村户数</w:t>
            </w:r>
          </w:p>
        </w:tc>
        <w:tc>
          <w:tcPr>
            <w:tcW w:w="2551" w:type="dxa"/>
            <w:vAlign w:val="center"/>
          </w:tcPr>
          <w:p>
            <w:pPr>
              <w:pStyle w:val="17"/>
              <w:keepNext w:val="0"/>
              <w:keepLines w:val="0"/>
              <w:suppressLineNumbers w:val="0"/>
              <w:spacing w:beforeAutospacing="0" w:afterAutospacing="0"/>
              <w:ind w:left="0" w:right="0"/>
            </w:pPr>
            <w:r>
              <w:t>≥3.33万户</w:t>
            </w:r>
          </w:p>
        </w:tc>
        <w:tc>
          <w:tcPr>
            <w:tcW w:w="2268" w:type="dxa"/>
            <w:vAlign w:val="center"/>
          </w:tcPr>
          <w:p>
            <w:pPr>
              <w:pStyle w:val="17"/>
              <w:keepNext w:val="0"/>
              <w:keepLines w:val="0"/>
              <w:suppressLineNumbers w:val="0"/>
              <w:spacing w:beforeAutospacing="0" w:afterAutospacing="0"/>
              <w:ind w:left="0" w:right="0"/>
            </w:pPr>
            <w:r>
              <w:t>全县农村户数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投保覆盖率</w:t>
            </w:r>
          </w:p>
        </w:tc>
        <w:tc>
          <w:tcPr>
            <w:tcW w:w="2835" w:type="dxa"/>
            <w:vAlign w:val="center"/>
          </w:tcPr>
          <w:p>
            <w:pPr>
              <w:pStyle w:val="17"/>
              <w:keepNext w:val="0"/>
              <w:keepLines w:val="0"/>
              <w:suppressLineNumbers w:val="0"/>
              <w:spacing w:beforeAutospacing="0" w:afterAutospacing="0"/>
              <w:ind w:left="0" w:right="0"/>
            </w:pPr>
            <w:r>
              <w:t>已参保人数占应参保人数的比率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赔付及时性</w:t>
            </w:r>
          </w:p>
        </w:tc>
        <w:tc>
          <w:tcPr>
            <w:tcW w:w="2835" w:type="dxa"/>
            <w:vAlign w:val="center"/>
          </w:tcPr>
          <w:p>
            <w:pPr>
              <w:pStyle w:val="17"/>
              <w:keepNext w:val="0"/>
              <w:keepLines w:val="0"/>
              <w:suppressLineNumbers w:val="0"/>
              <w:spacing w:beforeAutospacing="0" w:afterAutospacing="0"/>
              <w:ind w:left="0" w:right="0"/>
            </w:pPr>
            <w:r>
              <w:t>实际完成时间</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每户缴纳保险金额</w:t>
            </w:r>
          </w:p>
        </w:tc>
        <w:tc>
          <w:tcPr>
            <w:tcW w:w="2835" w:type="dxa"/>
            <w:vAlign w:val="center"/>
          </w:tcPr>
          <w:p>
            <w:pPr>
              <w:pStyle w:val="17"/>
              <w:keepNext w:val="0"/>
              <w:keepLines w:val="0"/>
              <w:suppressLineNumbers w:val="0"/>
              <w:spacing w:beforeAutospacing="0" w:afterAutospacing="0"/>
              <w:ind w:left="0" w:right="0"/>
            </w:pPr>
            <w:r>
              <w:t>每户缴纳保险金额</w:t>
            </w:r>
          </w:p>
        </w:tc>
        <w:tc>
          <w:tcPr>
            <w:tcW w:w="2551" w:type="dxa"/>
            <w:vAlign w:val="center"/>
          </w:tcPr>
          <w:p>
            <w:pPr>
              <w:pStyle w:val="17"/>
              <w:keepNext w:val="0"/>
              <w:keepLines w:val="0"/>
              <w:suppressLineNumbers w:val="0"/>
              <w:spacing w:beforeAutospacing="0" w:afterAutospacing="0"/>
              <w:ind w:left="0" w:right="0"/>
            </w:pPr>
            <w:r>
              <w:t>≤10元</w:t>
            </w:r>
          </w:p>
        </w:tc>
        <w:tc>
          <w:tcPr>
            <w:tcW w:w="2268" w:type="dxa"/>
            <w:vAlign w:val="center"/>
          </w:tcPr>
          <w:p>
            <w:pPr>
              <w:pStyle w:val="17"/>
              <w:keepNext w:val="0"/>
              <w:keepLines w:val="0"/>
              <w:suppressLineNumbers w:val="0"/>
              <w:spacing w:beforeAutospacing="0" w:afterAutospacing="0"/>
              <w:ind w:left="0" w:right="0"/>
            </w:pPr>
            <w: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获赔率</w:t>
            </w:r>
          </w:p>
        </w:tc>
        <w:tc>
          <w:tcPr>
            <w:tcW w:w="2835" w:type="dxa"/>
            <w:vAlign w:val="center"/>
          </w:tcPr>
          <w:p>
            <w:pPr>
              <w:pStyle w:val="17"/>
              <w:keepNext w:val="0"/>
              <w:keepLines w:val="0"/>
              <w:suppressLineNumbers w:val="0"/>
              <w:spacing w:beforeAutospacing="0" w:afterAutospacing="0"/>
              <w:ind w:left="0" w:right="0"/>
            </w:pPr>
            <w:r>
              <w:t>获赔率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赔付标准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农户满意度（%）</w:t>
            </w:r>
          </w:p>
        </w:tc>
        <w:tc>
          <w:tcPr>
            <w:tcW w:w="2835" w:type="dxa"/>
            <w:vAlign w:val="center"/>
          </w:tcPr>
          <w:p>
            <w:pPr>
              <w:pStyle w:val="17"/>
              <w:keepNext w:val="0"/>
              <w:keepLines w:val="0"/>
              <w:suppressLineNumbers w:val="0"/>
              <w:spacing w:beforeAutospacing="0" w:afterAutospacing="0"/>
              <w:ind w:left="0" w:right="0"/>
            </w:pPr>
            <w:r>
              <w:t>调查中满意和较满意的农户数量占全部调查人数比率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5、反邪教宣传工作经费绩效目标表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1.通过宣传教育，让广大群众筑牢反邪教思想基础，发现邪教苗头及时举报，遏制其发展。(文件涉密）</w:t>
            </w:r>
          </w:p>
          <w:p>
            <w:pPr>
              <w:pStyle w:val="17"/>
              <w:keepNext w:val="0"/>
              <w:keepLines w:val="0"/>
              <w:suppressLineNumbers w:val="0"/>
              <w:spacing w:beforeAutospacing="0" w:afterAutospacing="0"/>
              <w:ind w:left="0" w:right="0"/>
            </w:pPr>
            <w:r>
              <w:t>2.通过多种形式宣传教育，让广大群众筑牢反邪教思想基础，发现邪教苗头及时举报，为公安机关获取预警性信息，提供帮助、确保公安机关对邪教违法行为打击处理到位，遏制其发展。(文件涉密）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定制宣传物品的类别</w:t>
            </w:r>
          </w:p>
        </w:tc>
        <w:tc>
          <w:tcPr>
            <w:tcW w:w="2835" w:type="dxa"/>
            <w:vAlign w:val="center"/>
          </w:tcPr>
          <w:p>
            <w:pPr>
              <w:pStyle w:val="17"/>
              <w:keepNext w:val="0"/>
              <w:keepLines w:val="0"/>
              <w:suppressLineNumbers w:val="0"/>
              <w:spacing w:beforeAutospacing="0" w:afterAutospacing="0"/>
              <w:ind w:left="0" w:right="0"/>
            </w:pPr>
            <w:r>
              <w:t>印制刊物，玻璃杯定制等数量</w:t>
            </w:r>
          </w:p>
        </w:tc>
        <w:tc>
          <w:tcPr>
            <w:tcW w:w="2551" w:type="dxa"/>
            <w:vAlign w:val="center"/>
          </w:tcPr>
          <w:p>
            <w:pPr>
              <w:pStyle w:val="17"/>
              <w:keepNext w:val="0"/>
              <w:keepLines w:val="0"/>
              <w:suppressLineNumbers w:val="0"/>
              <w:spacing w:beforeAutospacing="0" w:afterAutospacing="0"/>
              <w:ind w:left="0" w:right="0"/>
            </w:pPr>
            <w:r>
              <w:t>5种</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产品合格率</w:t>
            </w:r>
          </w:p>
        </w:tc>
        <w:tc>
          <w:tcPr>
            <w:tcW w:w="2835" w:type="dxa"/>
            <w:vAlign w:val="center"/>
          </w:tcPr>
          <w:p>
            <w:pPr>
              <w:pStyle w:val="17"/>
              <w:keepNext w:val="0"/>
              <w:keepLines w:val="0"/>
              <w:suppressLineNumbers w:val="0"/>
              <w:spacing w:beforeAutospacing="0" w:afterAutospacing="0"/>
              <w:ind w:left="0" w:right="0"/>
            </w:pPr>
            <w:r>
              <w:t>印制品合格数量与印制品总量的比例</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购置商品到位及时率</w:t>
            </w:r>
          </w:p>
        </w:tc>
        <w:tc>
          <w:tcPr>
            <w:tcW w:w="2835" w:type="dxa"/>
            <w:vAlign w:val="center"/>
          </w:tcPr>
          <w:p>
            <w:pPr>
              <w:pStyle w:val="17"/>
              <w:keepNext w:val="0"/>
              <w:keepLines w:val="0"/>
              <w:suppressLineNumbers w:val="0"/>
              <w:spacing w:beforeAutospacing="0" w:afterAutospacing="0"/>
              <w:ind w:left="0" w:right="0"/>
            </w:pPr>
            <w:r>
              <w:t>购置商品及时</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成本控制率</w:t>
            </w:r>
          </w:p>
        </w:tc>
        <w:tc>
          <w:tcPr>
            <w:tcW w:w="2835" w:type="dxa"/>
            <w:vAlign w:val="center"/>
          </w:tcPr>
          <w:p>
            <w:pPr>
              <w:pStyle w:val="17"/>
              <w:keepNext w:val="0"/>
              <w:keepLines w:val="0"/>
              <w:suppressLineNumbers w:val="0"/>
              <w:spacing w:beforeAutospacing="0" w:afterAutospacing="0"/>
              <w:ind w:left="0" w:right="0"/>
            </w:pPr>
            <w:r>
              <w:t>实际支出占预算金额比例</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询价单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反邪教意识提升</w:t>
            </w:r>
          </w:p>
        </w:tc>
        <w:tc>
          <w:tcPr>
            <w:tcW w:w="2835" w:type="dxa"/>
            <w:vAlign w:val="center"/>
          </w:tcPr>
          <w:p>
            <w:pPr>
              <w:pStyle w:val="17"/>
              <w:keepNext w:val="0"/>
              <w:keepLines w:val="0"/>
              <w:suppressLineNumbers w:val="0"/>
              <w:spacing w:beforeAutospacing="0" w:afterAutospacing="0"/>
              <w:ind w:left="0" w:right="0"/>
            </w:pPr>
            <w:r>
              <w:t>利于广大群众筑牢反邪教思想基础，促进群众反邪教意识</w:t>
            </w:r>
          </w:p>
        </w:tc>
        <w:tc>
          <w:tcPr>
            <w:tcW w:w="2551" w:type="dxa"/>
            <w:vAlign w:val="center"/>
          </w:tcPr>
          <w:p>
            <w:pPr>
              <w:pStyle w:val="17"/>
              <w:keepNext w:val="0"/>
              <w:keepLines w:val="0"/>
              <w:suppressLineNumbers w:val="0"/>
              <w:spacing w:beforeAutospacing="0" w:afterAutospacing="0"/>
              <w:ind w:left="0" w:right="0"/>
            </w:pPr>
            <w:r>
              <w:t>显著</w:t>
            </w:r>
          </w:p>
        </w:tc>
        <w:tc>
          <w:tcPr>
            <w:tcW w:w="2268" w:type="dxa"/>
            <w:vAlign w:val="center"/>
          </w:tcPr>
          <w:p>
            <w:pPr>
              <w:pStyle w:val="17"/>
              <w:keepNext w:val="0"/>
              <w:keepLines w:val="0"/>
              <w:suppressLineNumbers w:val="0"/>
              <w:spacing w:beforeAutospacing="0" w:afterAutospacing="0"/>
              <w:ind w:left="0" w:right="0"/>
            </w:pPr>
            <w:r>
              <w:t>广大群众的反馈结果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综合满意度</w:t>
            </w:r>
          </w:p>
        </w:tc>
        <w:tc>
          <w:tcPr>
            <w:tcW w:w="2835" w:type="dxa"/>
            <w:vAlign w:val="center"/>
          </w:tcPr>
          <w:p>
            <w:pPr>
              <w:pStyle w:val="17"/>
              <w:keepNext w:val="0"/>
              <w:keepLines w:val="0"/>
              <w:suppressLineNumbers w:val="0"/>
              <w:spacing w:beforeAutospacing="0" w:afterAutospacing="0"/>
              <w:ind w:left="0" w:right="0"/>
            </w:pPr>
            <w:r>
              <w:t>反邪教宣传对象满意度</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ind w:firstLine="560" w:firstLineChars="200"/>
        <w:jc w:val="left"/>
        <w:outlineLvl w:val="1"/>
        <w:rPr>
          <w:rFonts w:ascii="仿宋" w:hAnsi="仿宋" w:eastAsia="仿宋" w:cs="Times New Roman"/>
          <w:sz w:val="28"/>
        </w:r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6、见义勇为基金项目绩效目标表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1.通过奖励见义勇为行为，弘扬正能量和社会治安的和谐稳定</w:t>
            </w:r>
            <w:r>
              <w:rPr>
                <w:rFonts w:hint="eastAsia"/>
                <w:lang w:val="en-US" w:eastAsia="zh-CN"/>
              </w:rPr>
              <w:t>作</w:t>
            </w:r>
            <w:r>
              <w:t>出贡献。</w:t>
            </w:r>
          </w:p>
          <w:p>
            <w:pPr>
              <w:pStyle w:val="17"/>
              <w:keepNext w:val="0"/>
              <w:keepLines w:val="0"/>
              <w:suppressLineNumbers w:val="0"/>
              <w:spacing w:beforeAutospacing="0" w:afterAutospacing="0"/>
              <w:ind w:left="0" w:right="0"/>
            </w:pPr>
            <w:r>
              <w:t>2.通过见义勇为行为认证和基金发放工作，对见义勇为者进行奖励，大力支持和鼓励见义勇为行为，弘扬正能量和社会治安的和谐稳定</w:t>
            </w:r>
            <w:r>
              <w:rPr>
                <w:rFonts w:hint="eastAsia"/>
                <w:lang w:val="en-US" w:eastAsia="zh-CN"/>
              </w:rPr>
              <w:t>作</w:t>
            </w:r>
            <w:r>
              <w:t>出贡献。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奖励人次</w:t>
            </w:r>
          </w:p>
        </w:tc>
        <w:tc>
          <w:tcPr>
            <w:tcW w:w="2835" w:type="dxa"/>
            <w:vAlign w:val="center"/>
          </w:tcPr>
          <w:p>
            <w:pPr>
              <w:pStyle w:val="17"/>
              <w:keepNext w:val="0"/>
              <w:keepLines w:val="0"/>
              <w:suppressLineNumbers w:val="0"/>
              <w:spacing w:beforeAutospacing="0" w:afterAutospacing="0"/>
              <w:ind w:left="0" w:right="0"/>
            </w:pPr>
            <w:r>
              <w:t>见义勇为基金发放人次</w:t>
            </w:r>
          </w:p>
        </w:tc>
        <w:tc>
          <w:tcPr>
            <w:tcW w:w="2551" w:type="dxa"/>
            <w:vAlign w:val="center"/>
          </w:tcPr>
          <w:p>
            <w:pPr>
              <w:pStyle w:val="17"/>
              <w:keepNext w:val="0"/>
              <w:keepLines w:val="0"/>
              <w:suppressLineNumbers w:val="0"/>
              <w:spacing w:beforeAutospacing="0" w:afterAutospacing="0"/>
              <w:ind w:left="0" w:right="0"/>
            </w:pPr>
            <w:r>
              <w:t>≥1人</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见义勇为基金发放率(%)</w:t>
            </w:r>
          </w:p>
        </w:tc>
        <w:tc>
          <w:tcPr>
            <w:tcW w:w="2835" w:type="dxa"/>
            <w:vAlign w:val="center"/>
          </w:tcPr>
          <w:p>
            <w:pPr>
              <w:pStyle w:val="17"/>
              <w:keepNext w:val="0"/>
              <w:keepLines w:val="0"/>
              <w:suppressLineNumbers w:val="0"/>
              <w:spacing w:beforeAutospacing="0" w:afterAutospacing="0"/>
              <w:ind w:left="0" w:right="0"/>
            </w:pPr>
            <w:r>
              <w:t>见义勇为基金发放金额与应发放金额的比例</w:t>
            </w:r>
          </w:p>
        </w:tc>
        <w:tc>
          <w:tcPr>
            <w:tcW w:w="2551" w:type="dxa"/>
            <w:vAlign w:val="center"/>
          </w:tcPr>
          <w:p>
            <w:pPr>
              <w:pStyle w:val="17"/>
              <w:keepNext w:val="0"/>
              <w:keepLines w:val="0"/>
              <w:suppressLineNumbers w:val="0"/>
              <w:spacing w:beforeAutospacing="0" w:afterAutospacing="0"/>
              <w:ind w:left="0" w:right="0"/>
            </w:pPr>
            <w:r>
              <w:t>100%</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奖金发放及时性</w:t>
            </w:r>
          </w:p>
        </w:tc>
        <w:tc>
          <w:tcPr>
            <w:tcW w:w="2835" w:type="dxa"/>
            <w:vAlign w:val="center"/>
          </w:tcPr>
          <w:p>
            <w:pPr>
              <w:pStyle w:val="17"/>
              <w:keepNext w:val="0"/>
              <w:keepLines w:val="0"/>
              <w:suppressLineNumbers w:val="0"/>
              <w:spacing w:beforeAutospacing="0" w:afterAutospacing="0"/>
              <w:ind w:left="0" w:right="0"/>
            </w:pPr>
            <w:r>
              <w:t>见义勇为基金及时奖励到符合见义勇为认证的人员</w:t>
            </w:r>
          </w:p>
        </w:tc>
        <w:tc>
          <w:tcPr>
            <w:tcW w:w="2551" w:type="dxa"/>
            <w:vAlign w:val="center"/>
          </w:tcPr>
          <w:p>
            <w:pPr>
              <w:pStyle w:val="17"/>
              <w:keepNext w:val="0"/>
              <w:keepLines w:val="0"/>
              <w:suppressLineNumbers w:val="0"/>
              <w:spacing w:beforeAutospacing="0" w:afterAutospacing="0"/>
              <w:ind w:left="0" w:right="0"/>
            </w:pPr>
            <w:r>
              <w:t>100%</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成本控制率</w:t>
            </w:r>
          </w:p>
        </w:tc>
        <w:tc>
          <w:tcPr>
            <w:tcW w:w="2835" w:type="dxa"/>
            <w:vAlign w:val="center"/>
          </w:tcPr>
          <w:p>
            <w:pPr>
              <w:pStyle w:val="17"/>
              <w:keepNext w:val="0"/>
              <w:keepLines w:val="0"/>
              <w:suppressLineNumbers w:val="0"/>
              <w:spacing w:beforeAutospacing="0" w:afterAutospacing="0"/>
              <w:ind w:left="0" w:right="0"/>
            </w:pPr>
            <w:r>
              <w:t>实际支出金额占资金预算总额的比率</w:t>
            </w:r>
          </w:p>
        </w:tc>
        <w:tc>
          <w:tcPr>
            <w:tcW w:w="2551" w:type="dxa"/>
            <w:vAlign w:val="center"/>
          </w:tcPr>
          <w:p>
            <w:pPr>
              <w:pStyle w:val="17"/>
              <w:keepNext w:val="0"/>
              <w:keepLines w:val="0"/>
              <w:suppressLineNumbers w:val="0"/>
              <w:spacing w:beforeAutospacing="0" w:afterAutospacing="0"/>
              <w:ind w:left="0" w:right="0"/>
            </w:pPr>
            <w:r>
              <w:t>≤100%</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保障社会治安的和谐稳定</w:t>
            </w:r>
          </w:p>
        </w:tc>
        <w:tc>
          <w:tcPr>
            <w:tcW w:w="2835" w:type="dxa"/>
            <w:vAlign w:val="center"/>
          </w:tcPr>
          <w:p>
            <w:pPr>
              <w:pStyle w:val="17"/>
              <w:keepNext w:val="0"/>
              <w:keepLines w:val="0"/>
              <w:suppressLineNumbers w:val="0"/>
              <w:spacing w:beforeAutospacing="0" w:afterAutospacing="0"/>
              <w:ind w:left="0" w:right="0"/>
            </w:pPr>
            <w:r>
              <w:t>彰显正能量，在全社会树立向见义勇为者学习的社会风气</w:t>
            </w:r>
          </w:p>
        </w:tc>
        <w:tc>
          <w:tcPr>
            <w:tcW w:w="2551" w:type="dxa"/>
            <w:vAlign w:val="center"/>
          </w:tcPr>
          <w:p>
            <w:pPr>
              <w:pStyle w:val="17"/>
              <w:keepNext w:val="0"/>
              <w:keepLines w:val="0"/>
              <w:suppressLineNumbers w:val="0"/>
              <w:spacing w:beforeAutospacing="0" w:afterAutospacing="0"/>
              <w:ind w:left="0" w:right="0"/>
            </w:pPr>
            <w:r>
              <w:t>显著</w:t>
            </w:r>
          </w:p>
        </w:tc>
        <w:tc>
          <w:tcPr>
            <w:tcW w:w="2268" w:type="dxa"/>
            <w:vAlign w:val="center"/>
          </w:tcPr>
          <w:p>
            <w:pPr>
              <w:pStyle w:val="17"/>
              <w:keepNext w:val="0"/>
              <w:keepLines w:val="0"/>
              <w:suppressLineNumbers w:val="0"/>
              <w:spacing w:beforeAutospacing="0" w:afterAutospacing="0"/>
              <w:ind w:left="0" w:right="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综合满意度</w:t>
            </w:r>
          </w:p>
        </w:tc>
        <w:tc>
          <w:tcPr>
            <w:tcW w:w="2835" w:type="dxa"/>
            <w:vAlign w:val="center"/>
          </w:tcPr>
          <w:p>
            <w:pPr>
              <w:pStyle w:val="17"/>
              <w:keepNext w:val="0"/>
              <w:keepLines w:val="0"/>
              <w:suppressLineNumbers w:val="0"/>
              <w:spacing w:beforeAutospacing="0" w:afterAutospacing="0"/>
              <w:ind w:left="0" w:right="0"/>
            </w:pPr>
            <w:r>
              <w:t>受奖励人员满意度</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7、军队退役人员辅助性岗位资金绩效目标表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1.缴纳约525人的严重精神障碍患者监护人责任险</w:t>
            </w:r>
          </w:p>
          <w:p>
            <w:pPr>
              <w:pStyle w:val="17"/>
              <w:keepNext w:val="0"/>
              <w:keepLines w:val="0"/>
              <w:suppressLineNumbers w:val="0"/>
              <w:spacing w:beforeAutospacing="0" w:afterAutospacing="0"/>
              <w:ind w:left="0" w:right="0"/>
            </w:pPr>
            <w:r>
              <w:t>2.能够使严重精神障碍患者监护人更好的履行看护管理责任，防止肇事肇祸事件发生，有效对冲社会风险。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缴纳保险数量</w:t>
            </w:r>
          </w:p>
        </w:tc>
        <w:tc>
          <w:tcPr>
            <w:tcW w:w="2835" w:type="dxa"/>
            <w:vAlign w:val="center"/>
          </w:tcPr>
          <w:p>
            <w:pPr>
              <w:pStyle w:val="17"/>
              <w:keepNext w:val="0"/>
              <w:keepLines w:val="0"/>
              <w:suppressLineNumbers w:val="0"/>
              <w:spacing w:beforeAutospacing="0" w:afterAutospacing="0"/>
              <w:ind w:left="0" w:right="0"/>
            </w:pPr>
            <w:r>
              <w:t>缴纳保险的人数或户数</w:t>
            </w:r>
          </w:p>
        </w:tc>
        <w:tc>
          <w:tcPr>
            <w:tcW w:w="2551" w:type="dxa"/>
            <w:vAlign w:val="center"/>
          </w:tcPr>
          <w:p>
            <w:pPr>
              <w:pStyle w:val="17"/>
              <w:keepNext w:val="0"/>
              <w:keepLines w:val="0"/>
              <w:suppressLineNumbers w:val="0"/>
              <w:spacing w:beforeAutospacing="0" w:afterAutospacing="0"/>
              <w:ind w:left="0" w:right="0"/>
            </w:pPr>
            <w:r>
              <w:t>≥525人</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投保覆盖率</w:t>
            </w:r>
          </w:p>
        </w:tc>
        <w:tc>
          <w:tcPr>
            <w:tcW w:w="2835" w:type="dxa"/>
            <w:vAlign w:val="center"/>
          </w:tcPr>
          <w:p>
            <w:pPr>
              <w:pStyle w:val="17"/>
              <w:keepNext w:val="0"/>
              <w:keepLines w:val="0"/>
              <w:suppressLineNumbers w:val="0"/>
              <w:spacing w:beforeAutospacing="0" w:afterAutospacing="0"/>
              <w:ind w:left="0" w:right="0"/>
            </w:pPr>
            <w:r>
              <w:t>已参保人数占应参保人数的比率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赔付及时性</w:t>
            </w:r>
          </w:p>
        </w:tc>
        <w:tc>
          <w:tcPr>
            <w:tcW w:w="2835" w:type="dxa"/>
            <w:vAlign w:val="center"/>
          </w:tcPr>
          <w:p>
            <w:pPr>
              <w:pStyle w:val="17"/>
              <w:keepNext w:val="0"/>
              <w:keepLines w:val="0"/>
              <w:suppressLineNumbers w:val="0"/>
              <w:spacing w:beforeAutospacing="0" w:afterAutospacing="0"/>
              <w:ind w:left="0" w:right="0"/>
            </w:pPr>
            <w:r>
              <w:t>实际完成时间</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每户缴纳保险金额</w:t>
            </w:r>
          </w:p>
        </w:tc>
        <w:tc>
          <w:tcPr>
            <w:tcW w:w="2835" w:type="dxa"/>
            <w:vAlign w:val="center"/>
          </w:tcPr>
          <w:p>
            <w:pPr>
              <w:pStyle w:val="17"/>
              <w:keepNext w:val="0"/>
              <w:keepLines w:val="0"/>
              <w:suppressLineNumbers w:val="0"/>
              <w:spacing w:beforeAutospacing="0" w:afterAutospacing="0"/>
              <w:ind w:left="0" w:right="0"/>
            </w:pPr>
            <w:r>
              <w:t>每户缴纳保险金额</w:t>
            </w:r>
          </w:p>
        </w:tc>
        <w:tc>
          <w:tcPr>
            <w:tcW w:w="2551" w:type="dxa"/>
            <w:vAlign w:val="center"/>
          </w:tcPr>
          <w:p>
            <w:pPr>
              <w:pStyle w:val="17"/>
              <w:keepNext w:val="0"/>
              <w:keepLines w:val="0"/>
              <w:suppressLineNumbers w:val="0"/>
              <w:spacing w:beforeAutospacing="0" w:afterAutospacing="0"/>
              <w:ind w:left="0" w:right="0"/>
            </w:pPr>
            <w:r>
              <w:t>≤100元</w:t>
            </w:r>
          </w:p>
        </w:tc>
        <w:tc>
          <w:tcPr>
            <w:tcW w:w="2268" w:type="dxa"/>
            <w:vAlign w:val="center"/>
          </w:tcPr>
          <w:p>
            <w:pPr>
              <w:pStyle w:val="17"/>
              <w:keepNext w:val="0"/>
              <w:keepLines w:val="0"/>
              <w:suppressLineNumbers w:val="0"/>
              <w:spacing w:beforeAutospacing="0" w:afterAutospacing="0"/>
              <w:ind w:left="0" w:right="0"/>
            </w:pPr>
            <w: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获赔率</w:t>
            </w:r>
          </w:p>
        </w:tc>
        <w:tc>
          <w:tcPr>
            <w:tcW w:w="2835" w:type="dxa"/>
            <w:vAlign w:val="center"/>
          </w:tcPr>
          <w:p>
            <w:pPr>
              <w:pStyle w:val="17"/>
              <w:keepNext w:val="0"/>
              <w:keepLines w:val="0"/>
              <w:suppressLineNumbers w:val="0"/>
              <w:spacing w:beforeAutospacing="0" w:afterAutospacing="0"/>
              <w:ind w:left="0" w:right="0"/>
            </w:pPr>
            <w:r>
              <w:t>获赔率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历年获赔数据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满意度（%）</w:t>
            </w:r>
          </w:p>
        </w:tc>
        <w:tc>
          <w:tcPr>
            <w:tcW w:w="2835" w:type="dxa"/>
            <w:vAlign w:val="center"/>
          </w:tcPr>
          <w:p>
            <w:pPr>
              <w:pStyle w:val="17"/>
              <w:keepNext w:val="0"/>
              <w:keepLines w:val="0"/>
              <w:suppressLineNumbers w:val="0"/>
              <w:spacing w:beforeAutospacing="0" w:afterAutospacing="0"/>
              <w:ind w:left="0" w:right="0"/>
            </w:pPr>
            <w:r>
              <w:t>调查中满意和较满意的数量占全部调查人数比率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ind w:firstLine="560" w:firstLineChars="200"/>
        <w:jc w:val="left"/>
        <w:outlineLvl w:val="1"/>
        <w:rPr>
          <w:rFonts w:ascii="仿宋" w:hAnsi="仿宋" w:eastAsia="仿宋" w:cs="Times New Roman"/>
          <w:sz w:val="28"/>
        </w:r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8、全国两会、冬奥会安保暑期铁路护路经费绩效目标表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1.通过铁路护路安保及宣传，确保重大活动期间无事故发生。</w:t>
            </w:r>
          </w:p>
          <w:p>
            <w:pPr>
              <w:pStyle w:val="17"/>
              <w:keepNext w:val="0"/>
              <w:keepLines w:val="0"/>
              <w:suppressLineNumbers w:val="0"/>
              <w:spacing w:beforeAutospacing="0" w:afterAutospacing="0"/>
              <w:ind w:left="0" w:right="0"/>
            </w:pPr>
            <w:r>
              <w:t>2.通过铁路护路安全警卫，确保全国“两会”“冬奥会”、暑期、国庆等大型活动安保无重大事件。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铁路护路安保人数</w:t>
            </w:r>
          </w:p>
        </w:tc>
        <w:tc>
          <w:tcPr>
            <w:tcW w:w="2835" w:type="dxa"/>
            <w:vAlign w:val="center"/>
          </w:tcPr>
          <w:p>
            <w:pPr>
              <w:pStyle w:val="17"/>
              <w:keepNext w:val="0"/>
              <w:keepLines w:val="0"/>
              <w:suppressLineNumbers w:val="0"/>
              <w:spacing w:beforeAutospacing="0" w:afterAutospacing="0"/>
              <w:ind w:left="0" w:right="0"/>
            </w:pPr>
            <w:r>
              <w:t>暑期、两会安保7个岗亭预计需要安保人员数量</w:t>
            </w:r>
          </w:p>
        </w:tc>
        <w:tc>
          <w:tcPr>
            <w:tcW w:w="2551" w:type="dxa"/>
            <w:vAlign w:val="center"/>
          </w:tcPr>
          <w:p>
            <w:pPr>
              <w:pStyle w:val="17"/>
              <w:keepNext w:val="0"/>
              <w:keepLines w:val="0"/>
              <w:suppressLineNumbers w:val="0"/>
              <w:spacing w:beforeAutospacing="0" w:afterAutospacing="0"/>
              <w:ind w:left="0" w:right="0"/>
            </w:pPr>
            <w:r>
              <w:t>≥3300人次</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岗亭电力使用数量</w:t>
            </w:r>
          </w:p>
        </w:tc>
        <w:tc>
          <w:tcPr>
            <w:tcW w:w="2835" w:type="dxa"/>
            <w:vAlign w:val="center"/>
          </w:tcPr>
          <w:p>
            <w:pPr>
              <w:pStyle w:val="17"/>
              <w:keepNext w:val="0"/>
              <w:keepLines w:val="0"/>
              <w:suppressLineNumbers w:val="0"/>
              <w:spacing w:beforeAutospacing="0" w:afterAutospacing="0"/>
              <w:ind w:left="0" w:right="0"/>
            </w:pPr>
            <w:r>
              <w:t>铁路护路7个岗亭的电力使用数量</w:t>
            </w:r>
          </w:p>
        </w:tc>
        <w:tc>
          <w:tcPr>
            <w:tcW w:w="2551" w:type="dxa"/>
            <w:vAlign w:val="center"/>
          </w:tcPr>
          <w:p>
            <w:pPr>
              <w:pStyle w:val="17"/>
              <w:keepNext w:val="0"/>
              <w:keepLines w:val="0"/>
              <w:suppressLineNumbers w:val="0"/>
              <w:spacing w:beforeAutospacing="0" w:afterAutospacing="0"/>
              <w:ind w:left="0" w:right="0"/>
            </w:pPr>
            <w:r>
              <w:t xml:space="preserve"> =6000千瓦</w:t>
            </w:r>
          </w:p>
        </w:tc>
        <w:tc>
          <w:tcPr>
            <w:tcW w:w="2268" w:type="dxa"/>
            <w:vAlign w:val="center"/>
          </w:tcPr>
          <w:p>
            <w:pPr>
              <w:pStyle w:val="17"/>
              <w:keepNext w:val="0"/>
              <w:keepLines w:val="0"/>
              <w:suppressLineNumbers w:val="0"/>
              <w:spacing w:beforeAutospacing="0" w:afterAutospacing="0"/>
              <w:ind w:left="0" w:right="0"/>
            </w:pPr>
            <w:r>
              <w:t>据实记录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维修维护次数</w:t>
            </w:r>
          </w:p>
        </w:tc>
        <w:tc>
          <w:tcPr>
            <w:tcW w:w="2835" w:type="dxa"/>
            <w:vAlign w:val="center"/>
          </w:tcPr>
          <w:p>
            <w:pPr>
              <w:pStyle w:val="17"/>
              <w:keepNext w:val="0"/>
              <w:keepLines w:val="0"/>
              <w:suppressLineNumbers w:val="0"/>
              <w:spacing w:beforeAutospacing="0" w:afterAutospacing="0"/>
              <w:ind w:left="0" w:right="0"/>
            </w:pPr>
            <w:r>
              <w:t>铁路护路指挥中心及7个岗亭的维修维护次数</w:t>
            </w:r>
          </w:p>
        </w:tc>
        <w:tc>
          <w:tcPr>
            <w:tcW w:w="2551" w:type="dxa"/>
            <w:vAlign w:val="center"/>
          </w:tcPr>
          <w:p>
            <w:pPr>
              <w:pStyle w:val="17"/>
              <w:keepNext w:val="0"/>
              <w:keepLines w:val="0"/>
              <w:suppressLineNumbers w:val="0"/>
              <w:spacing w:beforeAutospacing="0" w:afterAutospacing="0"/>
              <w:ind w:left="0" w:right="0"/>
            </w:pPr>
            <w:r>
              <w:t>≥2次</w:t>
            </w:r>
          </w:p>
        </w:tc>
        <w:tc>
          <w:tcPr>
            <w:tcW w:w="2268" w:type="dxa"/>
            <w:vAlign w:val="center"/>
          </w:tcPr>
          <w:p>
            <w:pPr>
              <w:pStyle w:val="17"/>
              <w:keepNext w:val="0"/>
              <w:keepLines w:val="0"/>
              <w:suppressLineNumbers w:val="0"/>
              <w:spacing w:beforeAutospacing="0" w:afterAutospacing="0"/>
              <w:ind w:left="0" w:right="0"/>
            </w:pPr>
            <w:r>
              <w:t>招投标合同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粉刷铁路两侧及涵洞宣传标语数量</w:t>
            </w:r>
          </w:p>
        </w:tc>
        <w:tc>
          <w:tcPr>
            <w:tcW w:w="2835" w:type="dxa"/>
            <w:vAlign w:val="center"/>
          </w:tcPr>
          <w:p>
            <w:pPr>
              <w:pStyle w:val="17"/>
              <w:keepNext w:val="0"/>
              <w:keepLines w:val="0"/>
              <w:suppressLineNumbers w:val="0"/>
              <w:spacing w:beforeAutospacing="0" w:afterAutospacing="0"/>
              <w:ind w:left="0" w:right="0"/>
            </w:pPr>
            <w:r>
              <w:t>粉刷铁路两侧及涵洞宣传标语数量</w:t>
            </w:r>
          </w:p>
        </w:tc>
        <w:tc>
          <w:tcPr>
            <w:tcW w:w="2551" w:type="dxa"/>
            <w:vAlign w:val="center"/>
          </w:tcPr>
          <w:p>
            <w:pPr>
              <w:pStyle w:val="17"/>
              <w:keepNext w:val="0"/>
              <w:keepLines w:val="0"/>
              <w:suppressLineNumbers w:val="0"/>
              <w:spacing w:beforeAutospacing="0" w:afterAutospacing="0"/>
              <w:ind w:left="0" w:right="0"/>
            </w:pPr>
            <w:r>
              <w:t>≥2890平米/个</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重大安保任务完成率(%)</w:t>
            </w:r>
          </w:p>
          <w:p>
            <w:pPr>
              <w:pStyle w:val="17"/>
              <w:keepNext w:val="0"/>
              <w:keepLines w:val="0"/>
              <w:suppressLineNumbers w:val="0"/>
              <w:spacing w:beforeAutospacing="0" w:afterAutospacing="0"/>
              <w:ind w:left="0" w:right="0"/>
            </w:pPr>
          </w:p>
        </w:tc>
        <w:tc>
          <w:tcPr>
            <w:tcW w:w="2835" w:type="dxa"/>
            <w:vAlign w:val="center"/>
          </w:tcPr>
          <w:p>
            <w:pPr>
              <w:pStyle w:val="17"/>
              <w:keepNext w:val="0"/>
              <w:keepLines w:val="0"/>
              <w:suppressLineNumbers w:val="0"/>
              <w:spacing w:beforeAutospacing="0" w:afterAutospacing="0"/>
              <w:ind w:left="0" w:right="0"/>
            </w:pPr>
            <w:r>
              <w:t>完成的安保任务占任务总数的比率</w:t>
            </w:r>
          </w:p>
        </w:tc>
        <w:tc>
          <w:tcPr>
            <w:tcW w:w="2551" w:type="dxa"/>
            <w:vAlign w:val="center"/>
          </w:tcPr>
          <w:p>
            <w:pPr>
              <w:pStyle w:val="17"/>
              <w:keepNext w:val="0"/>
              <w:keepLines w:val="0"/>
              <w:suppressLineNumbers w:val="0"/>
              <w:spacing w:beforeAutospacing="0" w:afterAutospacing="0"/>
              <w:ind w:left="0" w:right="0"/>
            </w:pPr>
            <w:r>
              <w:t xml:space="preserve"> =100百分比</w:t>
            </w:r>
          </w:p>
        </w:tc>
        <w:tc>
          <w:tcPr>
            <w:tcW w:w="2268" w:type="dxa"/>
            <w:vAlign w:val="center"/>
          </w:tcPr>
          <w:p>
            <w:pPr>
              <w:pStyle w:val="17"/>
              <w:keepNext w:val="0"/>
              <w:keepLines w:val="0"/>
              <w:suppressLineNumbers w:val="0"/>
              <w:spacing w:beforeAutospacing="0" w:afterAutospacing="0"/>
              <w:ind w:left="0" w:right="0"/>
            </w:pPr>
            <w:r>
              <w:t>工作日志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隐患排查周期</w:t>
            </w:r>
          </w:p>
        </w:tc>
        <w:tc>
          <w:tcPr>
            <w:tcW w:w="2835" w:type="dxa"/>
            <w:vAlign w:val="center"/>
          </w:tcPr>
          <w:p>
            <w:pPr>
              <w:pStyle w:val="17"/>
              <w:keepNext w:val="0"/>
              <w:keepLines w:val="0"/>
              <w:suppressLineNumbers w:val="0"/>
              <w:spacing w:beforeAutospacing="0" w:afterAutospacing="0"/>
              <w:ind w:left="0" w:right="0"/>
            </w:pPr>
            <w:r>
              <w:t>隐患排查周期</w:t>
            </w:r>
          </w:p>
        </w:tc>
        <w:tc>
          <w:tcPr>
            <w:tcW w:w="2551" w:type="dxa"/>
            <w:vAlign w:val="center"/>
          </w:tcPr>
          <w:p>
            <w:pPr>
              <w:pStyle w:val="17"/>
              <w:keepNext w:val="0"/>
              <w:keepLines w:val="0"/>
              <w:suppressLineNumbers w:val="0"/>
              <w:spacing w:beforeAutospacing="0" w:afterAutospacing="0"/>
              <w:ind w:left="0" w:right="0"/>
            </w:pPr>
            <w:r>
              <w:t>≥89天</w:t>
            </w:r>
          </w:p>
        </w:tc>
        <w:tc>
          <w:tcPr>
            <w:tcW w:w="2268" w:type="dxa"/>
            <w:vAlign w:val="center"/>
          </w:tcPr>
          <w:p>
            <w:pPr>
              <w:pStyle w:val="17"/>
              <w:keepNext w:val="0"/>
              <w:keepLines w:val="0"/>
              <w:suppressLineNumbers w:val="0"/>
              <w:spacing w:beforeAutospacing="0" w:afterAutospacing="0"/>
              <w:ind w:left="0" w:right="0"/>
            </w:pPr>
            <w:r>
              <w:t>招投标合同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铁路护路安保人均费用</w:t>
            </w:r>
          </w:p>
        </w:tc>
        <w:tc>
          <w:tcPr>
            <w:tcW w:w="2835" w:type="dxa"/>
            <w:vAlign w:val="center"/>
          </w:tcPr>
          <w:p>
            <w:pPr>
              <w:pStyle w:val="17"/>
              <w:keepNext w:val="0"/>
              <w:keepLines w:val="0"/>
              <w:suppressLineNumbers w:val="0"/>
              <w:spacing w:beforeAutospacing="0" w:afterAutospacing="0"/>
              <w:ind w:left="0" w:right="0"/>
            </w:pPr>
            <w:r>
              <w:t>暑期、两回安保7个岗亭预计需要安保人员人均费用</w:t>
            </w:r>
          </w:p>
        </w:tc>
        <w:tc>
          <w:tcPr>
            <w:tcW w:w="2551" w:type="dxa"/>
            <w:vAlign w:val="center"/>
          </w:tcPr>
          <w:p>
            <w:pPr>
              <w:pStyle w:val="17"/>
              <w:keepNext w:val="0"/>
              <w:keepLines w:val="0"/>
              <w:suppressLineNumbers w:val="0"/>
              <w:spacing w:beforeAutospacing="0" w:afterAutospacing="0"/>
              <w:ind w:left="0" w:right="0"/>
            </w:pPr>
            <w:r>
              <w:t>≤150元</w:t>
            </w:r>
          </w:p>
        </w:tc>
        <w:tc>
          <w:tcPr>
            <w:tcW w:w="2268" w:type="dxa"/>
            <w:vAlign w:val="center"/>
          </w:tcPr>
          <w:p>
            <w:pPr>
              <w:pStyle w:val="17"/>
              <w:keepNext w:val="0"/>
              <w:keepLines w:val="0"/>
              <w:suppressLineNumbers w:val="0"/>
              <w:spacing w:beforeAutospacing="0" w:afterAutospacing="0"/>
              <w:ind w:left="0" w:right="0"/>
            </w:pPr>
            <w:r>
              <w:t>招投标合同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岗亭电力使用单价</w:t>
            </w:r>
          </w:p>
        </w:tc>
        <w:tc>
          <w:tcPr>
            <w:tcW w:w="2835" w:type="dxa"/>
            <w:vAlign w:val="center"/>
          </w:tcPr>
          <w:p>
            <w:pPr>
              <w:pStyle w:val="17"/>
              <w:keepNext w:val="0"/>
              <w:keepLines w:val="0"/>
              <w:suppressLineNumbers w:val="0"/>
              <w:spacing w:beforeAutospacing="0" w:afterAutospacing="0"/>
              <w:ind w:left="0" w:right="0"/>
            </w:pPr>
            <w:r>
              <w:t>铁路护路7个岗亭的电力使用单价</w:t>
            </w:r>
          </w:p>
        </w:tc>
        <w:tc>
          <w:tcPr>
            <w:tcW w:w="2551" w:type="dxa"/>
            <w:vAlign w:val="center"/>
          </w:tcPr>
          <w:p>
            <w:pPr>
              <w:pStyle w:val="17"/>
              <w:keepNext w:val="0"/>
              <w:keepLines w:val="0"/>
              <w:suppressLineNumbers w:val="0"/>
              <w:spacing w:beforeAutospacing="0" w:afterAutospacing="0"/>
              <w:ind w:left="0" w:right="0"/>
            </w:pPr>
            <w:r>
              <w:t>≥0.5元</w:t>
            </w:r>
          </w:p>
        </w:tc>
        <w:tc>
          <w:tcPr>
            <w:tcW w:w="2268" w:type="dxa"/>
            <w:vAlign w:val="center"/>
          </w:tcPr>
          <w:p>
            <w:pPr>
              <w:pStyle w:val="17"/>
              <w:keepNext w:val="0"/>
              <w:keepLines w:val="0"/>
              <w:suppressLineNumbers w:val="0"/>
              <w:spacing w:beforeAutospacing="0" w:afterAutospacing="0"/>
              <w:ind w:left="0" w:right="0"/>
            </w:pPr>
            <w: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维修维护单价</w:t>
            </w:r>
          </w:p>
        </w:tc>
        <w:tc>
          <w:tcPr>
            <w:tcW w:w="2835" w:type="dxa"/>
            <w:vAlign w:val="center"/>
          </w:tcPr>
          <w:p>
            <w:pPr>
              <w:pStyle w:val="17"/>
              <w:keepNext w:val="0"/>
              <w:keepLines w:val="0"/>
              <w:suppressLineNumbers w:val="0"/>
              <w:spacing w:beforeAutospacing="0" w:afterAutospacing="0"/>
              <w:ind w:left="0" w:right="0"/>
            </w:pPr>
            <w:r>
              <w:t>铁路护路指挥中心及7个岗亭的维修维护单价</w:t>
            </w:r>
          </w:p>
        </w:tc>
        <w:tc>
          <w:tcPr>
            <w:tcW w:w="2551" w:type="dxa"/>
            <w:vAlign w:val="center"/>
          </w:tcPr>
          <w:p>
            <w:pPr>
              <w:pStyle w:val="17"/>
              <w:keepNext w:val="0"/>
              <w:keepLines w:val="0"/>
              <w:suppressLineNumbers w:val="0"/>
              <w:spacing w:beforeAutospacing="0" w:afterAutospacing="0"/>
              <w:ind w:left="0" w:right="0"/>
            </w:pPr>
            <w:r>
              <w:t>≤50000元</w:t>
            </w:r>
          </w:p>
        </w:tc>
        <w:tc>
          <w:tcPr>
            <w:tcW w:w="2268" w:type="dxa"/>
            <w:vAlign w:val="center"/>
          </w:tcPr>
          <w:p>
            <w:pPr>
              <w:pStyle w:val="17"/>
              <w:keepNext w:val="0"/>
              <w:keepLines w:val="0"/>
              <w:suppressLineNumbers w:val="0"/>
              <w:spacing w:beforeAutospacing="0" w:afterAutospacing="0"/>
              <w:ind w:left="0" w:right="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粉刷铁路两侧及涵洞宣传标语单价</w:t>
            </w:r>
          </w:p>
        </w:tc>
        <w:tc>
          <w:tcPr>
            <w:tcW w:w="2835" w:type="dxa"/>
            <w:vAlign w:val="center"/>
          </w:tcPr>
          <w:p>
            <w:pPr>
              <w:pStyle w:val="17"/>
              <w:keepNext w:val="0"/>
              <w:keepLines w:val="0"/>
              <w:suppressLineNumbers w:val="0"/>
              <w:spacing w:beforeAutospacing="0" w:afterAutospacing="0"/>
              <w:ind w:left="0" w:right="0"/>
            </w:pPr>
            <w:r>
              <w:t>粉刷铁路两侧及涵洞宣传标语单价</w:t>
            </w:r>
          </w:p>
        </w:tc>
        <w:tc>
          <w:tcPr>
            <w:tcW w:w="2551" w:type="dxa"/>
            <w:vAlign w:val="center"/>
          </w:tcPr>
          <w:p>
            <w:pPr>
              <w:pStyle w:val="17"/>
              <w:keepNext w:val="0"/>
              <w:keepLines w:val="0"/>
              <w:suppressLineNumbers w:val="0"/>
              <w:spacing w:beforeAutospacing="0" w:afterAutospacing="0"/>
              <w:ind w:left="0" w:right="0"/>
            </w:pPr>
            <w:r>
              <w:t>≤70元</w:t>
            </w:r>
          </w:p>
        </w:tc>
        <w:tc>
          <w:tcPr>
            <w:tcW w:w="2268" w:type="dxa"/>
            <w:vAlign w:val="center"/>
          </w:tcPr>
          <w:p>
            <w:pPr>
              <w:pStyle w:val="17"/>
              <w:keepNext w:val="0"/>
              <w:keepLines w:val="0"/>
              <w:suppressLineNumbers w:val="0"/>
              <w:spacing w:beforeAutospacing="0" w:afterAutospacing="0"/>
              <w:ind w:left="0" w:right="0"/>
            </w:pPr>
            <w: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安保期间事故发生率</w:t>
            </w:r>
          </w:p>
        </w:tc>
        <w:tc>
          <w:tcPr>
            <w:tcW w:w="2835" w:type="dxa"/>
            <w:vAlign w:val="center"/>
          </w:tcPr>
          <w:p>
            <w:pPr>
              <w:pStyle w:val="17"/>
              <w:keepNext w:val="0"/>
              <w:keepLines w:val="0"/>
              <w:suppressLineNumbers w:val="0"/>
              <w:spacing w:beforeAutospacing="0" w:afterAutospacing="0"/>
              <w:ind w:left="0" w:right="0"/>
            </w:pPr>
            <w:r>
              <w:t>安保期间事故发生9与安保期的比值（反向指标）</w:t>
            </w:r>
          </w:p>
        </w:tc>
        <w:tc>
          <w:tcPr>
            <w:tcW w:w="2551" w:type="dxa"/>
            <w:vAlign w:val="center"/>
          </w:tcPr>
          <w:p>
            <w:pPr>
              <w:pStyle w:val="17"/>
              <w:keepNext w:val="0"/>
              <w:keepLines w:val="0"/>
              <w:suppressLineNumbers w:val="0"/>
              <w:spacing w:beforeAutospacing="0" w:afterAutospacing="0"/>
              <w:ind w:left="0" w:right="0"/>
            </w:pPr>
            <w:r>
              <w:t>0.01百分比</w:t>
            </w:r>
          </w:p>
        </w:tc>
        <w:tc>
          <w:tcPr>
            <w:tcW w:w="2268" w:type="dxa"/>
            <w:vAlign w:val="center"/>
          </w:tcPr>
          <w:p>
            <w:pPr>
              <w:pStyle w:val="17"/>
              <w:keepNext w:val="0"/>
              <w:keepLines w:val="0"/>
              <w:suppressLineNumbers w:val="0"/>
              <w:spacing w:beforeAutospacing="0" w:afterAutospacing="0"/>
              <w:ind w:left="0" w:right="0"/>
            </w:pPr>
            <w:r>
              <w:t>工作日志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公众安全感指数(%)</w:t>
            </w:r>
          </w:p>
        </w:tc>
        <w:tc>
          <w:tcPr>
            <w:tcW w:w="2835" w:type="dxa"/>
            <w:vAlign w:val="center"/>
          </w:tcPr>
          <w:p>
            <w:pPr>
              <w:pStyle w:val="17"/>
              <w:keepNext w:val="0"/>
              <w:keepLines w:val="0"/>
              <w:suppressLineNumbers w:val="0"/>
              <w:spacing w:beforeAutospacing="0" w:afterAutospacing="0"/>
              <w:ind w:left="0" w:right="0"/>
            </w:pPr>
            <w:r>
              <w:t>对治安管理满意的人数査调查总人数的比率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问卷调查</w:t>
            </w:r>
          </w:p>
        </w:tc>
      </w:tr>
    </w:tbl>
    <w:p>
      <w:pPr>
        <w:ind w:firstLine="560" w:firstLineChars="200"/>
        <w:jc w:val="left"/>
        <w:outlineLvl w:val="1"/>
        <w:rPr>
          <w:rFonts w:ascii="仿宋" w:hAnsi="仿宋" w:eastAsia="仿宋" w:cs="Times New Roman"/>
          <w:sz w:val="28"/>
        </w:r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9、全县扫黑除恶斗争工作经费绩效目标表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1.通过对扫黑除恶宣传，动员人民群众积极投身扫黑除恶斗争，共同创建和谐稳定的社会，促进社会发展。</w:t>
            </w:r>
          </w:p>
          <w:p>
            <w:pPr>
              <w:pStyle w:val="17"/>
              <w:keepNext w:val="0"/>
              <w:keepLines w:val="0"/>
              <w:suppressLineNumbers w:val="0"/>
              <w:spacing w:beforeAutospacing="0" w:afterAutospacing="0"/>
              <w:ind w:left="0" w:right="0"/>
            </w:pPr>
            <w:r>
              <w:t>2.通过完成印制宣传牌、台历、雨伞等宣传工作，综合运用传统媒体和新媒体,深入宣传县委、</w:t>
            </w:r>
            <w:r>
              <w:rPr>
                <w:rFonts w:hint="eastAsia"/>
                <w:lang w:val="en-US" w:eastAsia="zh-CN"/>
              </w:rPr>
              <w:t>县</w:t>
            </w:r>
            <w:bookmarkStart w:id="9" w:name="_GoBack"/>
            <w:bookmarkEnd w:id="9"/>
            <w:r>
              <w:t>政府开展扫黑除恶斗争的决心、工作成效和先进事迹，动员人民群众积极投身扫黑除恶斗争，共同创建和谐稳定的社会，促进社会发展。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定制商品种类</w:t>
            </w:r>
          </w:p>
        </w:tc>
        <w:tc>
          <w:tcPr>
            <w:tcW w:w="2835" w:type="dxa"/>
            <w:vAlign w:val="center"/>
          </w:tcPr>
          <w:p>
            <w:pPr>
              <w:pStyle w:val="17"/>
              <w:keepNext w:val="0"/>
              <w:keepLines w:val="0"/>
              <w:suppressLineNumbers w:val="0"/>
              <w:spacing w:beforeAutospacing="0" w:afterAutospacing="0"/>
              <w:ind w:left="0" w:right="0"/>
            </w:pPr>
            <w:r>
              <w:t>定制扫黑宣传牌（标语）、扫黑台历等</w:t>
            </w:r>
          </w:p>
        </w:tc>
        <w:tc>
          <w:tcPr>
            <w:tcW w:w="2551" w:type="dxa"/>
            <w:vAlign w:val="center"/>
          </w:tcPr>
          <w:p>
            <w:pPr>
              <w:pStyle w:val="17"/>
              <w:keepNext w:val="0"/>
              <w:keepLines w:val="0"/>
              <w:suppressLineNumbers w:val="0"/>
              <w:spacing w:beforeAutospacing="0" w:afterAutospacing="0"/>
              <w:ind w:left="0" w:right="0"/>
            </w:pPr>
            <w:r>
              <w:t>≥2类</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活动宣传覆盖率</w:t>
            </w:r>
          </w:p>
        </w:tc>
        <w:tc>
          <w:tcPr>
            <w:tcW w:w="2835" w:type="dxa"/>
            <w:vAlign w:val="center"/>
          </w:tcPr>
          <w:p>
            <w:pPr>
              <w:pStyle w:val="17"/>
              <w:keepNext w:val="0"/>
              <w:keepLines w:val="0"/>
              <w:suppressLineNumbers w:val="0"/>
              <w:spacing w:beforeAutospacing="0" w:afterAutospacing="0"/>
              <w:ind w:left="0" w:right="0"/>
            </w:pPr>
            <w:r>
              <w:t>实际宣传覆盖范围占大厂全县范围的比例</w:t>
            </w:r>
          </w:p>
        </w:tc>
        <w:tc>
          <w:tcPr>
            <w:tcW w:w="2551" w:type="dxa"/>
            <w:vAlign w:val="center"/>
          </w:tcPr>
          <w:p>
            <w:pPr>
              <w:pStyle w:val="17"/>
              <w:keepNext w:val="0"/>
              <w:keepLines w:val="0"/>
              <w:suppressLineNumbers w:val="0"/>
              <w:spacing w:beforeAutospacing="0" w:afterAutospacing="0"/>
              <w:ind w:left="0" w:right="0"/>
            </w:pPr>
            <w:r>
              <w:t>≥90百分比</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购置完成及时率</w:t>
            </w:r>
          </w:p>
        </w:tc>
        <w:tc>
          <w:tcPr>
            <w:tcW w:w="2835" w:type="dxa"/>
            <w:vAlign w:val="center"/>
          </w:tcPr>
          <w:p>
            <w:pPr>
              <w:pStyle w:val="17"/>
              <w:keepNext w:val="0"/>
              <w:keepLines w:val="0"/>
              <w:suppressLineNumbers w:val="0"/>
              <w:spacing w:beforeAutospacing="0" w:afterAutospacing="0"/>
              <w:ind w:left="0" w:right="0"/>
            </w:pPr>
            <w:r>
              <w:t>购置完成时间</w:t>
            </w:r>
          </w:p>
        </w:tc>
        <w:tc>
          <w:tcPr>
            <w:tcW w:w="2551" w:type="dxa"/>
            <w:vAlign w:val="center"/>
          </w:tcPr>
          <w:p>
            <w:pPr>
              <w:pStyle w:val="17"/>
              <w:keepNext w:val="0"/>
              <w:keepLines w:val="0"/>
              <w:suppressLineNumbers w:val="0"/>
              <w:spacing w:beforeAutospacing="0" w:afterAutospacing="0"/>
              <w:ind w:left="0" w:right="0"/>
            </w:pPr>
            <w:r>
              <w:t>100%</w:t>
            </w:r>
          </w:p>
        </w:tc>
        <w:tc>
          <w:tcPr>
            <w:tcW w:w="2268" w:type="dxa"/>
            <w:vAlign w:val="center"/>
          </w:tcPr>
          <w:p>
            <w:pPr>
              <w:pStyle w:val="17"/>
              <w:keepNext w:val="0"/>
              <w:keepLines w:val="0"/>
              <w:suppressLineNumbers w:val="0"/>
              <w:spacing w:beforeAutospacing="0" w:afterAutospacing="0"/>
              <w:ind w:left="0" w:right="0"/>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成本控制率</w:t>
            </w:r>
          </w:p>
        </w:tc>
        <w:tc>
          <w:tcPr>
            <w:tcW w:w="2835" w:type="dxa"/>
            <w:vAlign w:val="center"/>
          </w:tcPr>
          <w:p>
            <w:pPr>
              <w:pStyle w:val="17"/>
              <w:keepNext w:val="0"/>
              <w:keepLines w:val="0"/>
              <w:suppressLineNumbers w:val="0"/>
              <w:spacing w:beforeAutospacing="0" w:afterAutospacing="0"/>
              <w:ind w:left="0" w:right="0"/>
            </w:pPr>
            <w:r>
              <w:t>实际支出金额占预算金额比率</w:t>
            </w:r>
          </w:p>
        </w:tc>
        <w:tc>
          <w:tcPr>
            <w:tcW w:w="2551" w:type="dxa"/>
            <w:vAlign w:val="center"/>
          </w:tcPr>
          <w:p>
            <w:pPr>
              <w:pStyle w:val="17"/>
              <w:keepNext w:val="0"/>
              <w:keepLines w:val="0"/>
              <w:suppressLineNumbers w:val="0"/>
              <w:spacing w:beforeAutospacing="0" w:afterAutospacing="0"/>
              <w:ind w:left="0" w:right="0"/>
            </w:pPr>
            <w:r>
              <w:t>≤100%</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扫黑除恶宣传知晓率</w:t>
            </w:r>
          </w:p>
        </w:tc>
        <w:tc>
          <w:tcPr>
            <w:tcW w:w="2835" w:type="dxa"/>
            <w:vAlign w:val="center"/>
          </w:tcPr>
          <w:p>
            <w:pPr>
              <w:pStyle w:val="17"/>
              <w:keepNext w:val="0"/>
              <w:keepLines w:val="0"/>
              <w:suppressLineNumbers w:val="0"/>
              <w:spacing w:beforeAutospacing="0" w:afterAutospacing="0"/>
              <w:ind w:left="0" w:right="0"/>
            </w:pPr>
            <w:r>
              <w:t>大力宣传扫黑除恶活动，促进社会团结稳定效果显著</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群众满意度</w:t>
            </w:r>
          </w:p>
        </w:tc>
        <w:tc>
          <w:tcPr>
            <w:tcW w:w="2835" w:type="dxa"/>
            <w:vAlign w:val="center"/>
          </w:tcPr>
          <w:p>
            <w:pPr>
              <w:pStyle w:val="17"/>
              <w:keepNext w:val="0"/>
              <w:keepLines w:val="0"/>
              <w:suppressLineNumbers w:val="0"/>
              <w:spacing w:beforeAutospacing="0" w:afterAutospacing="0"/>
              <w:ind w:left="0" w:right="0"/>
            </w:pPr>
            <w:r>
              <w:t>接受扫黑除恶宣传的群众满意人数占调查群众人数</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10、社会治安综合治理工作经费绩效目标表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1.通过社会管理综合治理，达到社会秩序良好，治安形势稳定，首都政治护城河作用发挥明显，全县社会稳定。</w:t>
            </w:r>
          </w:p>
          <w:p>
            <w:pPr>
              <w:pStyle w:val="17"/>
              <w:keepNext w:val="0"/>
              <w:keepLines w:val="0"/>
              <w:suppressLineNumbers w:val="0"/>
              <w:spacing w:beforeAutospacing="0" w:afterAutospacing="0"/>
              <w:ind w:left="0" w:right="0"/>
            </w:pPr>
            <w:r>
              <w:t>2.组织协调相关职能部门，深入开展社会治安综合治理工作，加强重大矛盾纠纷排查化解、社会治安重点地区集中整治，切实提升群众安全感。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制作宣传品种类</w:t>
            </w:r>
          </w:p>
        </w:tc>
        <w:tc>
          <w:tcPr>
            <w:tcW w:w="2835" w:type="dxa"/>
            <w:vAlign w:val="center"/>
          </w:tcPr>
          <w:p>
            <w:pPr>
              <w:pStyle w:val="17"/>
              <w:keepNext w:val="0"/>
              <w:keepLines w:val="0"/>
              <w:suppressLineNumbers w:val="0"/>
              <w:spacing w:beforeAutospacing="0" w:afterAutospacing="0"/>
              <w:ind w:left="0" w:right="0"/>
            </w:pPr>
            <w:r>
              <w:t>印制宣传册、宣传毛巾、宣传展板三类</w:t>
            </w:r>
          </w:p>
        </w:tc>
        <w:tc>
          <w:tcPr>
            <w:tcW w:w="2551" w:type="dxa"/>
            <w:vAlign w:val="center"/>
          </w:tcPr>
          <w:p>
            <w:pPr>
              <w:pStyle w:val="17"/>
              <w:keepNext w:val="0"/>
              <w:keepLines w:val="0"/>
              <w:suppressLineNumbers w:val="0"/>
              <w:spacing w:beforeAutospacing="0" w:afterAutospacing="0"/>
              <w:ind w:left="0" w:right="0"/>
            </w:pPr>
            <w:r>
              <w:t>≤3类</w:t>
            </w:r>
          </w:p>
        </w:tc>
        <w:tc>
          <w:tcPr>
            <w:tcW w:w="2268" w:type="dxa"/>
            <w:vAlign w:val="center"/>
          </w:tcPr>
          <w:p>
            <w:pPr>
              <w:pStyle w:val="17"/>
              <w:keepNext w:val="0"/>
              <w:keepLines w:val="0"/>
              <w:suppressLineNumbers w:val="0"/>
              <w:spacing w:beforeAutospacing="0" w:afterAutospacing="0"/>
              <w:ind w:left="0" w:right="0"/>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宣传品合格率</w:t>
            </w:r>
          </w:p>
        </w:tc>
        <w:tc>
          <w:tcPr>
            <w:tcW w:w="2835" w:type="dxa"/>
            <w:vAlign w:val="center"/>
          </w:tcPr>
          <w:p>
            <w:pPr>
              <w:pStyle w:val="17"/>
              <w:keepNext w:val="0"/>
              <w:keepLines w:val="0"/>
              <w:suppressLineNumbers w:val="0"/>
              <w:spacing w:beforeAutospacing="0" w:afterAutospacing="0"/>
              <w:ind w:left="0" w:right="0"/>
            </w:pPr>
            <w:r>
              <w:t>合格率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宣传及时性</w:t>
            </w:r>
          </w:p>
        </w:tc>
        <w:tc>
          <w:tcPr>
            <w:tcW w:w="2835" w:type="dxa"/>
            <w:vAlign w:val="center"/>
          </w:tcPr>
          <w:p>
            <w:pPr>
              <w:pStyle w:val="17"/>
              <w:keepNext w:val="0"/>
              <w:keepLines w:val="0"/>
              <w:suppressLineNumbers w:val="0"/>
              <w:spacing w:beforeAutospacing="0" w:afterAutospacing="0"/>
              <w:ind w:left="0" w:right="0"/>
            </w:pPr>
            <w:r>
              <w:t>完成时间</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冀综治办【2016】12号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成本控制率</w:t>
            </w:r>
          </w:p>
        </w:tc>
        <w:tc>
          <w:tcPr>
            <w:tcW w:w="2835" w:type="dxa"/>
            <w:vAlign w:val="center"/>
          </w:tcPr>
          <w:p>
            <w:pPr>
              <w:pStyle w:val="17"/>
              <w:keepNext w:val="0"/>
              <w:keepLines w:val="0"/>
              <w:suppressLineNumbers w:val="0"/>
              <w:spacing w:beforeAutospacing="0" w:afterAutospacing="0"/>
              <w:ind w:left="0" w:right="0"/>
            </w:pPr>
            <w:r>
              <w:t>实际支出占预算金额的比率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询价单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对治安综合治理宣传的知晓率</w:t>
            </w:r>
          </w:p>
        </w:tc>
        <w:tc>
          <w:tcPr>
            <w:tcW w:w="2835" w:type="dxa"/>
            <w:vAlign w:val="center"/>
          </w:tcPr>
          <w:p>
            <w:pPr>
              <w:pStyle w:val="17"/>
              <w:keepNext w:val="0"/>
              <w:keepLines w:val="0"/>
              <w:suppressLineNumbers w:val="0"/>
              <w:spacing w:beforeAutospacing="0" w:afterAutospacing="0"/>
              <w:ind w:left="0" w:right="0"/>
            </w:pPr>
            <w:r>
              <w:t>县域群众对治安综合治理宣传的知晓率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群众满意度</w:t>
            </w:r>
          </w:p>
        </w:tc>
        <w:tc>
          <w:tcPr>
            <w:tcW w:w="2835" w:type="dxa"/>
            <w:vAlign w:val="center"/>
          </w:tcPr>
          <w:p>
            <w:pPr>
              <w:pStyle w:val="17"/>
              <w:keepNext w:val="0"/>
              <w:keepLines w:val="0"/>
              <w:suppressLineNumbers w:val="0"/>
              <w:spacing w:beforeAutospacing="0" w:afterAutospacing="0"/>
              <w:ind w:left="0" w:right="0"/>
            </w:pPr>
            <w:r>
              <w:t>受益对象满意度</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11、特困干警补贴资金绩效目标表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1.通过对符合补助条件的特困干警发放补贴为因病致困的干警及其家属减轻后顾之忧。</w:t>
            </w:r>
          </w:p>
          <w:p>
            <w:pPr>
              <w:pStyle w:val="17"/>
              <w:keepNext w:val="0"/>
              <w:keepLines w:val="0"/>
              <w:suppressLineNumbers w:val="0"/>
              <w:spacing w:beforeAutospacing="0" w:afterAutospacing="0"/>
              <w:ind w:left="0" w:right="0"/>
            </w:pPr>
            <w:r>
              <w:t>2.通过发放特困干警补贴，有效减轻特困干警经济压力。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发放一档特困干警补贴人数</w:t>
            </w:r>
          </w:p>
        </w:tc>
        <w:tc>
          <w:tcPr>
            <w:tcW w:w="2835" w:type="dxa"/>
            <w:vAlign w:val="center"/>
          </w:tcPr>
          <w:p>
            <w:pPr>
              <w:pStyle w:val="17"/>
              <w:keepNext w:val="0"/>
              <w:keepLines w:val="0"/>
              <w:suppressLineNumbers w:val="0"/>
              <w:spacing w:beforeAutospacing="0" w:afterAutospacing="0"/>
              <w:ind w:left="0" w:right="0"/>
            </w:pPr>
            <w:r>
              <w:t>发放一档特困干警补贴人数</w:t>
            </w:r>
          </w:p>
        </w:tc>
        <w:tc>
          <w:tcPr>
            <w:tcW w:w="2551" w:type="dxa"/>
            <w:vAlign w:val="center"/>
          </w:tcPr>
          <w:p>
            <w:pPr>
              <w:pStyle w:val="17"/>
              <w:keepNext w:val="0"/>
              <w:keepLines w:val="0"/>
              <w:suppressLineNumbers w:val="0"/>
              <w:spacing w:beforeAutospacing="0" w:afterAutospacing="0"/>
              <w:ind w:left="0" w:right="0"/>
            </w:pPr>
            <w:r>
              <w:t>≥2人</w:t>
            </w:r>
          </w:p>
        </w:tc>
        <w:tc>
          <w:tcPr>
            <w:tcW w:w="2268" w:type="dxa"/>
            <w:vAlign w:val="center"/>
          </w:tcPr>
          <w:p>
            <w:pPr>
              <w:pStyle w:val="17"/>
              <w:keepNext w:val="0"/>
              <w:keepLines w:val="0"/>
              <w:suppressLineNumbers w:val="0"/>
              <w:spacing w:beforeAutospacing="0" w:afterAutospacing="0"/>
              <w:ind w:left="0" w:right="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发放二档特困干警补贴人数</w:t>
            </w:r>
          </w:p>
        </w:tc>
        <w:tc>
          <w:tcPr>
            <w:tcW w:w="2835" w:type="dxa"/>
            <w:vAlign w:val="center"/>
          </w:tcPr>
          <w:p>
            <w:pPr>
              <w:pStyle w:val="17"/>
              <w:keepNext w:val="0"/>
              <w:keepLines w:val="0"/>
              <w:suppressLineNumbers w:val="0"/>
              <w:spacing w:beforeAutospacing="0" w:afterAutospacing="0"/>
              <w:ind w:left="0" w:right="0"/>
            </w:pPr>
            <w:r>
              <w:t>发放一档特困干警补贴人数</w:t>
            </w:r>
          </w:p>
        </w:tc>
        <w:tc>
          <w:tcPr>
            <w:tcW w:w="2551" w:type="dxa"/>
            <w:vAlign w:val="center"/>
          </w:tcPr>
          <w:p>
            <w:pPr>
              <w:pStyle w:val="17"/>
              <w:keepNext w:val="0"/>
              <w:keepLines w:val="0"/>
              <w:suppressLineNumbers w:val="0"/>
              <w:spacing w:beforeAutospacing="0" w:afterAutospacing="0"/>
              <w:ind w:left="0" w:right="0"/>
            </w:pPr>
            <w:r>
              <w:t>≥4人</w:t>
            </w:r>
          </w:p>
        </w:tc>
        <w:tc>
          <w:tcPr>
            <w:tcW w:w="2268" w:type="dxa"/>
            <w:vAlign w:val="center"/>
          </w:tcPr>
          <w:p>
            <w:pPr>
              <w:pStyle w:val="17"/>
              <w:keepNext w:val="0"/>
              <w:keepLines w:val="0"/>
              <w:suppressLineNumbers w:val="0"/>
              <w:spacing w:beforeAutospacing="0" w:afterAutospacing="0"/>
              <w:ind w:left="0" w:right="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发放三档特困干警补贴人数</w:t>
            </w:r>
          </w:p>
        </w:tc>
        <w:tc>
          <w:tcPr>
            <w:tcW w:w="2835" w:type="dxa"/>
            <w:vAlign w:val="center"/>
          </w:tcPr>
          <w:p>
            <w:pPr>
              <w:pStyle w:val="17"/>
              <w:keepNext w:val="0"/>
              <w:keepLines w:val="0"/>
              <w:suppressLineNumbers w:val="0"/>
              <w:spacing w:beforeAutospacing="0" w:afterAutospacing="0"/>
              <w:ind w:left="0" w:right="0"/>
            </w:pPr>
            <w:r>
              <w:t>发放一档特困干警补贴人数</w:t>
            </w:r>
          </w:p>
        </w:tc>
        <w:tc>
          <w:tcPr>
            <w:tcW w:w="2551" w:type="dxa"/>
            <w:vAlign w:val="center"/>
          </w:tcPr>
          <w:p>
            <w:pPr>
              <w:pStyle w:val="17"/>
              <w:keepNext w:val="0"/>
              <w:keepLines w:val="0"/>
              <w:suppressLineNumbers w:val="0"/>
              <w:spacing w:beforeAutospacing="0" w:afterAutospacing="0"/>
              <w:ind w:left="0" w:right="0"/>
            </w:pPr>
            <w:r>
              <w:t>≥4人</w:t>
            </w:r>
          </w:p>
        </w:tc>
        <w:tc>
          <w:tcPr>
            <w:tcW w:w="2268" w:type="dxa"/>
            <w:vAlign w:val="center"/>
          </w:tcPr>
          <w:p>
            <w:pPr>
              <w:pStyle w:val="17"/>
              <w:keepNext w:val="0"/>
              <w:keepLines w:val="0"/>
              <w:suppressLineNumbers w:val="0"/>
              <w:spacing w:beforeAutospacing="0" w:afterAutospacing="0"/>
              <w:ind w:left="0" w:right="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补助金发放率(%)</w:t>
            </w:r>
          </w:p>
        </w:tc>
        <w:tc>
          <w:tcPr>
            <w:tcW w:w="2835" w:type="dxa"/>
            <w:vAlign w:val="center"/>
          </w:tcPr>
          <w:p>
            <w:pPr>
              <w:pStyle w:val="17"/>
              <w:keepNext w:val="0"/>
              <w:keepLines w:val="0"/>
              <w:suppressLineNumbers w:val="0"/>
              <w:spacing w:beforeAutospacing="0" w:afterAutospacing="0"/>
              <w:ind w:left="0" w:right="0"/>
            </w:pPr>
            <w:r>
              <w:t>实际发放的补助金金额占计划发放金额的比率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补助发放及时率</w:t>
            </w:r>
          </w:p>
        </w:tc>
        <w:tc>
          <w:tcPr>
            <w:tcW w:w="2835" w:type="dxa"/>
            <w:vAlign w:val="center"/>
          </w:tcPr>
          <w:p>
            <w:pPr>
              <w:pStyle w:val="17"/>
              <w:keepNext w:val="0"/>
              <w:keepLines w:val="0"/>
              <w:suppressLineNumbers w:val="0"/>
              <w:spacing w:beforeAutospacing="0" w:afterAutospacing="0"/>
              <w:ind w:left="0" w:right="0"/>
            </w:pPr>
            <w:r>
              <w:t>补助发放的时效情况</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廊坊市财政局中共廊坊市委政法委员会关于印发《廊坊市政法系统因公牺牲伤残特困干警资助资金管理办法》的通知（廊财行【2019】15号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资助申报及时性</w:t>
            </w:r>
          </w:p>
        </w:tc>
        <w:tc>
          <w:tcPr>
            <w:tcW w:w="2835" w:type="dxa"/>
            <w:vAlign w:val="center"/>
          </w:tcPr>
          <w:p>
            <w:pPr>
              <w:pStyle w:val="17"/>
              <w:keepNext w:val="0"/>
              <w:keepLines w:val="0"/>
              <w:suppressLineNumbers w:val="0"/>
              <w:spacing w:beforeAutospacing="0" w:afterAutospacing="0"/>
              <w:ind w:left="0" w:right="0"/>
            </w:pPr>
            <w:r>
              <w:t>特困干警自主申报为每年12月</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廊坊市财政局中共廊坊市委政法委员会关于印发《廊坊市政法系统因公牺牲伤残特困干警资助资金管理办法》的通知（廊财行【2019】15号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一档补助发放金额</w:t>
            </w:r>
          </w:p>
        </w:tc>
        <w:tc>
          <w:tcPr>
            <w:tcW w:w="2835" w:type="dxa"/>
            <w:vAlign w:val="center"/>
          </w:tcPr>
          <w:p>
            <w:pPr>
              <w:pStyle w:val="17"/>
              <w:keepNext w:val="0"/>
              <w:keepLines w:val="0"/>
              <w:suppressLineNumbers w:val="0"/>
              <w:spacing w:beforeAutospacing="0" w:afterAutospacing="0"/>
              <w:ind w:left="0" w:right="0"/>
            </w:pPr>
            <w:r>
              <w:t>满足申报条件的个人再负担5-6万元的特困干警</w:t>
            </w:r>
          </w:p>
        </w:tc>
        <w:tc>
          <w:tcPr>
            <w:tcW w:w="2551" w:type="dxa"/>
            <w:vAlign w:val="center"/>
          </w:tcPr>
          <w:p>
            <w:pPr>
              <w:pStyle w:val="17"/>
              <w:keepNext w:val="0"/>
              <w:keepLines w:val="0"/>
              <w:suppressLineNumbers w:val="0"/>
              <w:spacing w:beforeAutospacing="0" w:afterAutospacing="0"/>
              <w:ind w:left="0" w:right="0"/>
            </w:pPr>
            <w:r>
              <w:t>5000元</w:t>
            </w:r>
          </w:p>
        </w:tc>
        <w:tc>
          <w:tcPr>
            <w:tcW w:w="2268" w:type="dxa"/>
            <w:vAlign w:val="center"/>
          </w:tcPr>
          <w:p>
            <w:pPr>
              <w:pStyle w:val="17"/>
              <w:keepNext w:val="0"/>
              <w:keepLines w:val="0"/>
              <w:suppressLineNumbers w:val="0"/>
              <w:spacing w:beforeAutospacing="0" w:afterAutospacing="0"/>
              <w:ind w:left="0" w:right="0"/>
            </w:pPr>
            <w:r>
              <w:t>廊坊市财政局中共廊坊市委政法委员会关于印发《廊坊市政法系统因公牺牲伤残特困干警资助资金管理办法》的通知（廊财行【2019】15号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二档补助发放金额</w:t>
            </w:r>
          </w:p>
        </w:tc>
        <w:tc>
          <w:tcPr>
            <w:tcW w:w="2835" w:type="dxa"/>
            <w:vAlign w:val="center"/>
          </w:tcPr>
          <w:p>
            <w:pPr>
              <w:pStyle w:val="17"/>
              <w:keepNext w:val="0"/>
              <w:keepLines w:val="0"/>
              <w:suppressLineNumbers w:val="0"/>
              <w:spacing w:beforeAutospacing="0" w:afterAutospacing="0"/>
              <w:ind w:left="0" w:right="0"/>
            </w:pPr>
            <w:r>
              <w:t>满足申报条件的个人再负担3-4万元的特困干警</w:t>
            </w:r>
          </w:p>
        </w:tc>
        <w:tc>
          <w:tcPr>
            <w:tcW w:w="2551" w:type="dxa"/>
            <w:vAlign w:val="center"/>
          </w:tcPr>
          <w:p>
            <w:pPr>
              <w:pStyle w:val="17"/>
              <w:keepNext w:val="0"/>
              <w:keepLines w:val="0"/>
              <w:suppressLineNumbers w:val="0"/>
              <w:spacing w:beforeAutospacing="0" w:afterAutospacing="0"/>
              <w:ind w:left="0" w:right="0"/>
            </w:pPr>
            <w:r>
              <w:t>3000元</w:t>
            </w:r>
          </w:p>
        </w:tc>
        <w:tc>
          <w:tcPr>
            <w:tcW w:w="2268" w:type="dxa"/>
            <w:vAlign w:val="center"/>
          </w:tcPr>
          <w:p>
            <w:pPr>
              <w:pStyle w:val="17"/>
              <w:keepNext w:val="0"/>
              <w:keepLines w:val="0"/>
              <w:suppressLineNumbers w:val="0"/>
              <w:spacing w:beforeAutospacing="0" w:afterAutospacing="0"/>
              <w:ind w:left="0" w:right="0"/>
            </w:pPr>
            <w:r>
              <w:t>廊坊市财政局中共廊坊市委政法委员会关于印发《廊坊市政法系统因公牺牲伤残特困干警资助资金管理办法》的通知（廊财行【2019】15号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三档补助发放金额</w:t>
            </w:r>
          </w:p>
        </w:tc>
        <w:tc>
          <w:tcPr>
            <w:tcW w:w="2835" w:type="dxa"/>
            <w:vAlign w:val="center"/>
          </w:tcPr>
          <w:p>
            <w:pPr>
              <w:pStyle w:val="17"/>
              <w:keepNext w:val="0"/>
              <w:keepLines w:val="0"/>
              <w:suppressLineNumbers w:val="0"/>
              <w:spacing w:beforeAutospacing="0" w:afterAutospacing="0"/>
              <w:ind w:left="0" w:right="0"/>
            </w:pPr>
            <w:r>
              <w:t>满足申报条件的个人再负担1-2万元的特困干警</w:t>
            </w:r>
          </w:p>
        </w:tc>
        <w:tc>
          <w:tcPr>
            <w:tcW w:w="2551" w:type="dxa"/>
            <w:vAlign w:val="center"/>
          </w:tcPr>
          <w:p>
            <w:pPr>
              <w:pStyle w:val="17"/>
              <w:keepNext w:val="0"/>
              <w:keepLines w:val="0"/>
              <w:suppressLineNumbers w:val="0"/>
              <w:spacing w:beforeAutospacing="0" w:afterAutospacing="0"/>
              <w:ind w:left="0" w:right="0"/>
            </w:pPr>
            <w:r>
              <w:t>2000元</w:t>
            </w:r>
          </w:p>
        </w:tc>
        <w:tc>
          <w:tcPr>
            <w:tcW w:w="2268" w:type="dxa"/>
            <w:vAlign w:val="center"/>
          </w:tcPr>
          <w:p>
            <w:pPr>
              <w:pStyle w:val="17"/>
              <w:keepNext w:val="0"/>
              <w:keepLines w:val="0"/>
              <w:suppressLineNumbers w:val="0"/>
              <w:spacing w:beforeAutospacing="0" w:afterAutospacing="0"/>
              <w:ind w:left="0" w:right="0"/>
            </w:pPr>
            <w:r>
              <w:t>廊坊市财政局中共廊坊市委政法委员会关于印发《廊坊市政法系统因公牺牲伤残特困干警资助资金管理办法》的通知（廊财行【2019】15号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有效减轻特困干警经济压力</w:t>
            </w:r>
          </w:p>
        </w:tc>
        <w:tc>
          <w:tcPr>
            <w:tcW w:w="2835" w:type="dxa"/>
            <w:vAlign w:val="center"/>
          </w:tcPr>
          <w:p>
            <w:pPr>
              <w:pStyle w:val="17"/>
              <w:keepNext w:val="0"/>
              <w:keepLines w:val="0"/>
              <w:suppressLineNumbers w:val="0"/>
              <w:spacing w:beforeAutospacing="0" w:afterAutospacing="0"/>
              <w:ind w:left="0" w:right="0"/>
            </w:pPr>
            <w:r>
              <w:t>有效减轻特困干警经济压力</w:t>
            </w:r>
          </w:p>
        </w:tc>
        <w:tc>
          <w:tcPr>
            <w:tcW w:w="2551" w:type="dxa"/>
            <w:vAlign w:val="center"/>
          </w:tcPr>
          <w:p>
            <w:pPr>
              <w:pStyle w:val="17"/>
              <w:keepNext w:val="0"/>
              <w:keepLines w:val="0"/>
              <w:suppressLineNumbers w:val="0"/>
              <w:spacing w:beforeAutospacing="0" w:afterAutospacing="0"/>
              <w:ind w:left="0" w:right="0"/>
            </w:pPr>
            <w:r>
              <w:t>显著</w:t>
            </w:r>
          </w:p>
        </w:tc>
        <w:tc>
          <w:tcPr>
            <w:tcW w:w="2268" w:type="dxa"/>
            <w:vAlign w:val="center"/>
          </w:tcPr>
          <w:p>
            <w:pPr>
              <w:pStyle w:val="17"/>
              <w:keepNext w:val="0"/>
              <w:keepLines w:val="0"/>
              <w:suppressLineNumbers w:val="0"/>
              <w:spacing w:beforeAutospacing="0" w:afterAutospacing="0"/>
              <w:ind w:left="0" w:right="0"/>
            </w:pPr>
            <w:r>
              <w:t>接受补助的特困干警的反馈结果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满意度</w:t>
            </w:r>
          </w:p>
        </w:tc>
        <w:tc>
          <w:tcPr>
            <w:tcW w:w="2835" w:type="dxa"/>
            <w:vAlign w:val="center"/>
          </w:tcPr>
          <w:p>
            <w:pPr>
              <w:pStyle w:val="17"/>
              <w:keepNext w:val="0"/>
              <w:keepLines w:val="0"/>
              <w:suppressLineNumbers w:val="0"/>
              <w:spacing w:beforeAutospacing="0" w:afterAutospacing="0"/>
              <w:ind w:left="0" w:right="0"/>
            </w:pPr>
            <w:r>
              <w:t>特困干警满意度</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12、维稳工作经费绩效目标表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1.通过对县域特殊群体、重点人群稳控、矛盾纠纷排查稳控工作，确保县域和谐稳定。</w:t>
            </w:r>
          </w:p>
          <w:p>
            <w:pPr>
              <w:pStyle w:val="17"/>
              <w:keepNext w:val="0"/>
              <w:keepLines w:val="0"/>
              <w:suppressLineNumbers w:val="0"/>
              <w:spacing w:beforeAutospacing="0" w:afterAutospacing="0"/>
              <w:ind w:left="0" w:right="0"/>
            </w:pPr>
            <w:r>
              <w:t>2.通过维稳宣传，减少重大活动突发事件，确保县域和谐稳定。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印制宣传物品的数量</w:t>
            </w:r>
          </w:p>
        </w:tc>
        <w:tc>
          <w:tcPr>
            <w:tcW w:w="2835" w:type="dxa"/>
            <w:vAlign w:val="center"/>
          </w:tcPr>
          <w:p>
            <w:pPr>
              <w:pStyle w:val="17"/>
              <w:keepNext w:val="0"/>
              <w:keepLines w:val="0"/>
              <w:suppressLineNumbers w:val="0"/>
              <w:spacing w:beforeAutospacing="0" w:afterAutospacing="0"/>
              <w:ind w:left="0" w:right="0"/>
            </w:pPr>
            <w:r>
              <w:t>宣传毛巾制作，宣传折页定制等数量</w:t>
            </w:r>
          </w:p>
        </w:tc>
        <w:tc>
          <w:tcPr>
            <w:tcW w:w="2551" w:type="dxa"/>
            <w:vAlign w:val="center"/>
          </w:tcPr>
          <w:p>
            <w:pPr>
              <w:pStyle w:val="17"/>
              <w:keepNext w:val="0"/>
              <w:keepLines w:val="0"/>
              <w:suppressLineNumbers w:val="0"/>
              <w:spacing w:beforeAutospacing="0" w:afterAutospacing="0"/>
              <w:ind w:left="0" w:right="0"/>
            </w:pPr>
            <w:r>
              <w:t>5种</w:t>
            </w:r>
          </w:p>
        </w:tc>
        <w:tc>
          <w:tcPr>
            <w:tcW w:w="2268" w:type="dxa"/>
            <w:vAlign w:val="center"/>
          </w:tcPr>
          <w:p>
            <w:pPr>
              <w:pStyle w:val="17"/>
              <w:keepNext w:val="0"/>
              <w:keepLines w:val="0"/>
              <w:suppressLineNumbers w:val="0"/>
              <w:spacing w:beforeAutospacing="0" w:afterAutospacing="0"/>
              <w:ind w:left="0" w:right="0"/>
            </w:pPr>
            <w:r>
              <w:t>会议纪录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活动宣传覆盖率</w:t>
            </w:r>
          </w:p>
        </w:tc>
        <w:tc>
          <w:tcPr>
            <w:tcW w:w="2835" w:type="dxa"/>
            <w:vAlign w:val="center"/>
          </w:tcPr>
          <w:p>
            <w:pPr>
              <w:pStyle w:val="17"/>
              <w:keepNext w:val="0"/>
              <w:keepLines w:val="0"/>
              <w:suppressLineNumbers w:val="0"/>
              <w:spacing w:beforeAutospacing="0" w:afterAutospacing="0"/>
              <w:ind w:left="0" w:right="0"/>
            </w:pPr>
            <w:r>
              <w:t>实际宣传覆盖范围占大厂全县范围的比例</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购置及时率</w:t>
            </w:r>
          </w:p>
        </w:tc>
        <w:tc>
          <w:tcPr>
            <w:tcW w:w="2835" w:type="dxa"/>
            <w:vAlign w:val="center"/>
          </w:tcPr>
          <w:p>
            <w:pPr>
              <w:pStyle w:val="17"/>
              <w:keepNext w:val="0"/>
              <w:keepLines w:val="0"/>
              <w:suppressLineNumbers w:val="0"/>
              <w:spacing w:beforeAutospacing="0" w:afterAutospacing="0"/>
              <w:ind w:left="0" w:right="0"/>
            </w:pPr>
            <w:r>
              <w:t>购置商品完成时间</w:t>
            </w:r>
          </w:p>
        </w:tc>
        <w:tc>
          <w:tcPr>
            <w:tcW w:w="2551" w:type="dxa"/>
            <w:vAlign w:val="center"/>
          </w:tcPr>
          <w:p>
            <w:pPr>
              <w:pStyle w:val="17"/>
              <w:keepNext w:val="0"/>
              <w:keepLines w:val="0"/>
              <w:suppressLineNumbers w:val="0"/>
              <w:spacing w:beforeAutospacing="0" w:afterAutospacing="0"/>
              <w:ind w:left="0" w:right="0"/>
            </w:pPr>
            <w:r>
              <w:t>100%</w:t>
            </w:r>
          </w:p>
        </w:tc>
        <w:tc>
          <w:tcPr>
            <w:tcW w:w="2268" w:type="dxa"/>
            <w:vAlign w:val="center"/>
          </w:tcPr>
          <w:p>
            <w:pPr>
              <w:pStyle w:val="17"/>
              <w:keepNext w:val="0"/>
              <w:keepLines w:val="0"/>
              <w:suppressLineNumbers w:val="0"/>
              <w:spacing w:beforeAutospacing="0" w:afterAutospacing="0"/>
              <w:ind w:left="0" w:right="0"/>
            </w:pPr>
            <w:r>
              <w:t>采购接收单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成本控制率</w:t>
            </w:r>
          </w:p>
        </w:tc>
        <w:tc>
          <w:tcPr>
            <w:tcW w:w="2835" w:type="dxa"/>
            <w:vAlign w:val="center"/>
          </w:tcPr>
          <w:p>
            <w:pPr>
              <w:pStyle w:val="17"/>
              <w:keepNext w:val="0"/>
              <w:keepLines w:val="0"/>
              <w:suppressLineNumbers w:val="0"/>
              <w:spacing w:beforeAutospacing="0" w:afterAutospacing="0"/>
              <w:ind w:left="0" w:right="0"/>
            </w:pPr>
            <w:r>
              <w:t>实际支出金额占预算金额的比率</w:t>
            </w:r>
          </w:p>
        </w:tc>
        <w:tc>
          <w:tcPr>
            <w:tcW w:w="2551" w:type="dxa"/>
            <w:vAlign w:val="center"/>
          </w:tcPr>
          <w:p>
            <w:pPr>
              <w:pStyle w:val="17"/>
              <w:keepNext w:val="0"/>
              <w:keepLines w:val="0"/>
              <w:suppressLineNumbers w:val="0"/>
              <w:spacing w:beforeAutospacing="0" w:afterAutospacing="0"/>
              <w:ind w:left="0" w:right="0"/>
            </w:pPr>
            <w:r>
              <w:t>≤100%</w:t>
            </w:r>
          </w:p>
        </w:tc>
        <w:tc>
          <w:tcPr>
            <w:tcW w:w="2268" w:type="dxa"/>
            <w:vAlign w:val="center"/>
          </w:tcPr>
          <w:p>
            <w:pPr>
              <w:pStyle w:val="17"/>
              <w:keepNext w:val="0"/>
              <w:keepLines w:val="0"/>
              <w:suppressLineNumbers w:val="0"/>
              <w:spacing w:beforeAutospacing="0" w:afterAutospacing="0"/>
              <w:ind w:left="0" w:right="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重大活动突发事件发生率(%)</w:t>
            </w:r>
          </w:p>
        </w:tc>
        <w:tc>
          <w:tcPr>
            <w:tcW w:w="2835" w:type="dxa"/>
            <w:vAlign w:val="center"/>
          </w:tcPr>
          <w:p>
            <w:pPr>
              <w:pStyle w:val="17"/>
              <w:keepNext w:val="0"/>
              <w:keepLines w:val="0"/>
              <w:suppressLineNumbers w:val="0"/>
              <w:spacing w:beforeAutospacing="0" w:afterAutospacing="0"/>
              <w:ind w:left="0" w:right="0"/>
            </w:pPr>
            <w:r>
              <w:t>发生突发事件的重大活动数量占全部重大活动的比率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公众安全感指数(%)</w:t>
            </w:r>
          </w:p>
        </w:tc>
        <w:tc>
          <w:tcPr>
            <w:tcW w:w="2835" w:type="dxa"/>
            <w:vAlign w:val="center"/>
          </w:tcPr>
          <w:p>
            <w:pPr>
              <w:pStyle w:val="17"/>
              <w:keepNext w:val="0"/>
              <w:keepLines w:val="0"/>
              <w:suppressLineNumbers w:val="0"/>
              <w:spacing w:beforeAutospacing="0" w:afterAutospacing="0"/>
              <w:ind w:left="0" w:right="0"/>
            </w:pPr>
            <w:r>
              <w:t>对治安管理满意的人数査调查总人数的比率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问卷调查</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13、严重精神障碍患者监护人责任险项目绩效目标表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1.缴纳约525人的严重精神障碍患者监护人责任险</w:t>
            </w:r>
          </w:p>
          <w:p>
            <w:pPr>
              <w:pStyle w:val="17"/>
              <w:keepNext w:val="0"/>
              <w:keepLines w:val="0"/>
              <w:suppressLineNumbers w:val="0"/>
              <w:spacing w:beforeAutospacing="0" w:afterAutospacing="0"/>
              <w:ind w:left="0" w:right="0"/>
            </w:pPr>
            <w:r>
              <w:t>2.能够使严重精神障碍患者监护人更好的履行看护管理责任，防止肇事肇祸事件发生，有效对冲社会风险。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缴纳保险数量</w:t>
            </w:r>
          </w:p>
        </w:tc>
        <w:tc>
          <w:tcPr>
            <w:tcW w:w="2835" w:type="dxa"/>
            <w:vAlign w:val="center"/>
          </w:tcPr>
          <w:p>
            <w:pPr>
              <w:pStyle w:val="17"/>
              <w:keepNext w:val="0"/>
              <w:keepLines w:val="0"/>
              <w:suppressLineNumbers w:val="0"/>
              <w:spacing w:beforeAutospacing="0" w:afterAutospacing="0"/>
              <w:ind w:left="0" w:right="0"/>
            </w:pPr>
            <w:r>
              <w:t>缴纳保险的人数或户数</w:t>
            </w:r>
          </w:p>
        </w:tc>
        <w:tc>
          <w:tcPr>
            <w:tcW w:w="2551" w:type="dxa"/>
            <w:vAlign w:val="center"/>
          </w:tcPr>
          <w:p>
            <w:pPr>
              <w:pStyle w:val="17"/>
              <w:keepNext w:val="0"/>
              <w:keepLines w:val="0"/>
              <w:suppressLineNumbers w:val="0"/>
              <w:spacing w:beforeAutospacing="0" w:afterAutospacing="0"/>
              <w:ind w:left="0" w:right="0"/>
            </w:pPr>
            <w:r>
              <w:t>≥525人</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投保覆盖率</w:t>
            </w:r>
          </w:p>
        </w:tc>
        <w:tc>
          <w:tcPr>
            <w:tcW w:w="2835" w:type="dxa"/>
            <w:vAlign w:val="center"/>
          </w:tcPr>
          <w:p>
            <w:pPr>
              <w:pStyle w:val="17"/>
              <w:keepNext w:val="0"/>
              <w:keepLines w:val="0"/>
              <w:suppressLineNumbers w:val="0"/>
              <w:spacing w:beforeAutospacing="0" w:afterAutospacing="0"/>
              <w:ind w:left="0" w:right="0"/>
            </w:pPr>
            <w:r>
              <w:t>已参保人数占应参保人数的比率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赔付及时性</w:t>
            </w:r>
          </w:p>
        </w:tc>
        <w:tc>
          <w:tcPr>
            <w:tcW w:w="2835" w:type="dxa"/>
            <w:vAlign w:val="center"/>
          </w:tcPr>
          <w:p>
            <w:pPr>
              <w:pStyle w:val="17"/>
              <w:keepNext w:val="0"/>
              <w:keepLines w:val="0"/>
              <w:suppressLineNumbers w:val="0"/>
              <w:spacing w:beforeAutospacing="0" w:afterAutospacing="0"/>
              <w:ind w:left="0" w:right="0"/>
            </w:pPr>
            <w:r>
              <w:t>实际完成时间</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每户缴纳保险金额</w:t>
            </w:r>
          </w:p>
        </w:tc>
        <w:tc>
          <w:tcPr>
            <w:tcW w:w="2835" w:type="dxa"/>
            <w:vAlign w:val="center"/>
          </w:tcPr>
          <w:p>
            <w:pPr>
              <w:pStyle w:val="17"/>
              <w:keepNext w:val="0"/>
              <w:keepLines w:val="0"/>
              <w:suppressLineNumbers w:val="0"/>
              <w:spacing w:beforeAutospacing="0" w:afterAutospacing="0"/>
              <w:ind w:left="0" w:right="0"/>
            </w:pPr>
            <w:r>
              <w:t>每户缴纳保险金额</w:t>
            </w:r>
          </w:p>
        </w:tc>
        <w:tc>
          <w:tcPr>
            <w:tcW w:w="2551" w:type="dxa"/>
            <w:vAlign w:val="center"/>
          </w:tcPr>
          <w:p>
            <w:pPr>
              <w:pStyle w:val="17"/>
              <w:keepNext w:val="0"/>
              <w:keepLines w:val="0"/>
              <w:suppressLineNumbers w:val="0"/>
              <w:spacing w:beforeAutospacing="0" w:afterAutospacing="0"/>
              <w:ind w:left="0" w:right="0"/>
            </w:pPr>
            <w:r>
              <w:t>≤100元</w:t>
            </w:r>
          </w:p>
        </w:tc>
        <w:tc>
          <w:tcPr>
            <w:tcW w:w="2268" w:type="dxa"/>
            <w:vAlign w:val="center"/>
          </w:tcPr>
          <w:p>
            <w:pPr>
              <w:pStyle w:val="17"/>
              <w:keepNext w:val="0"/>
              <w:keepLines w:val="0"/>
              <w:suppressLineNumbers w:val="0"/>
              <w:spacing w:beforeAutospacing="0" w:afterAutospacing="0"/>
              <w:ind w:left="0" w:right="0"/>
            </w:pPr>
            <w: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获赔率</w:t>
            </w:r>
          </w:p>
        </w:tc>
        <w:tc>
          <w:tcPr>
            <w:tcW w:w="2835" w:type="dxa"/>
            <w:vAlign w:val="center"/>
          </w:tcPr>
          <w:p>
            <w:pPr>
              <w:pStyle w:val="17"/>
              <w:keepNext w:val="0"/>
              <w:keepLines w:val="0"/>
              <w:suppressLineNumbers w:val="0"/>
              <w:spacing w:beforeAutospacing="0" w:afterAutospacing="0"/>
              <w:ind w:left="0" w:right="0"/>
            </w:pPr>
            <w:r>
              <w:t>获赔率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历年获赔数据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满意度（%）</w:t>
            </w:r>
          </w:p>
        </w:tc>
        <w:tc>
          <w:tcPr>
            <w:tcW w:w="2835" w:type="dxa"/>
            <w:vAlign w:val="center"/>
          </w:tcPr>
          <w:p>
            <w:pPr>
              <w:pStyle w:val="17"/>
              <w:keepNext w:val="0"/>
              <w:keepLines w:val="0"/>
              <w:suppressLineNumbers w:val="0"/>
              <w:spacing w:beforeAutospacing="0" w:afterAutospacing="0"/>
              <w:ind w:left="0" w:right="0"/>
            </w:pPr>
            <w:r>
              <w:t>调查中满意和较满意的数量占全部调查人数比率</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sectPr>
          <w:pgSz w:w="16840" w:h="11900" w:orient="landscape"/>
          <w:pgMar w:top="1361" w:right="1020" w:bottom="1134" w:left="1020" w:header="720" w:footer="720" w:gutter="0"/>
        </w:sectPr>
      </w:pPr>
    </w:p>
    <w:p>
      <w:pPr>
        <w:ind w:firstLine="560" w:firstLineChars="200"/>
        <w:jc w:val="left"/>
        <w:outlineLvl w:val="1"/>
        <w:rPr>
          <w:rFonts w:ascii="仿宋" w:hAnsi="仿宋" w:eastAsia="仿宋" w:cs="Times New Roman"/>
          <w:sz w:val="28"/>
        </w:rPr>
      </w:pPr>
      <w:r>
        <w:rPr>
          <w:rFonts w:ascii="仿宋" w:hAnsi="仿宋" w:eastAsia="仿宋" w:cs="Times New Roman"/>
          <w:sz w:val="28"/>
        </w:rPr>
        <w:t>14、政法四级网光纤传输及维保费项目绩效目标表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keepNext w:val="0"/>
              <w:keepLines w:val="0"/>
              <w:suppressLineNumbers w:val="0"/>
              <w:spacing w:beforeAutospacing="0" w:afterAutospacing="0"/>
              <w:ind w:left="0" w:right="0"/>
            </w:pPr>
            <w:r>
              <w:t>绩效目标</w:t>
            </w:r>
          </w:p>
        </w:tc>
        <w:tc>
          <w:tcPr>
            <w:tcW w:w="12756" w:type="dxa"/>
            <w:tcBorders>
              <w:bottom w:val="single" w:color="FFFFFF" w:sz="6" w:space="0"/>
            </w:tcBorders>
            <w:vAlign w:val="center"/>
          </w:tcPr>
          <w:p>
            <w:pPr>
              <w:pStyle w:val="17"/>
              <w:keepNext w:val="0"/>
              <w:keepLines w:val="0"/>
              <w:suppressLineNumbers w:val="0"/>
              <w:spacing w:beforeAutospacing="0" w:afterAutospacing="0"/>
              <w:ind w:left="0" w:right="0"/>
            </w:pPr>
            <w:r>
              <w:t>1.按合同支付政法四级网光纤传输及维保费。通过政法四级网光纤传输及维保，确保政法网正常运行。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keepNext w:val="0"/>
              <w:keepLines w:val="0"/>
              <w:suppressLineNumbers w:val="0"/>
              <w:spacing w:beforeAutospacing="0" w:afterAutospacing="0"/>
              <w:ind w:left="0" w:right="0"/>
            </w:pPr>
            <w:r>
              <w:t>一级指标</w:t>
            </w:r>
          </w:p>
        </w:tc>
        <w:tc>
          <w:tcPr>
            <w:tcW w:w="2268" w:type="dxa"/>
            <w:vAlign w:val="center"/>
          </w:tcPr>
          <w:p>
            <w:pPr>
              <w:pStyle w:val="16"/>
              <w:keepNext w:val="0"/>
              <w:keepLines w:val="0"/>
              <w:suppressLineNumbers w:val="0"/>
              <w:spacing w:beforeAutospacing="0" w:afterAutospacing="0"/>
              <w:ind w:left="0" w:right="0"/>
            </w:pPr>
            <w:r>
              <w:t>二级指标</w:t>
            </w:r>
          </w:p>
        </w:tc>
        <w:tc>
          <w:tcPr>
            <w:tcW w:w="2835" w:type="dxa"/>
            <w:vAlign w:val="center"/>
          </w:tcPr>
          <w:p>
            <w:pPr>
              <w:pStyle w:val="16"/>
              <w:keepNext w:val="0"/>
              <w:keepLines w:val="0"/>
              <w:suppressLineNumbers w:val="0"/>
              <w:spacing w:beforeAutospacing="0" w:afterAutospacing="0"/>
              <w:ind w:left="0" w:right="0"/>
            </w:pPr>
            <w:r>
              <w:t>三级指标</w:t>
            </w:r>
          </w:p>
        </w:tc>
        <w:tc>
          <w:tcPr>
            <w:tcW w:w="2835" w:type="dxa"/>
            <w:vAlign w:val="center"/>
          </w:tcPr>
          <w:p>
            <w:pPr>
              <w:pStyle w:val="16"/>
              <w:keepNext w:val="0"/>
              <w:keepLines w:val="0"/>
              <w:suppressLineNumbers w:val="0"/>
              <w:spacing w:beforeAutospacing="0" w:afterAutospacing="0"/>
              <w:ind w:left="0" w:right="0"/>
            </w:pPr>
            <w:r>
              <w:t>绩效指标描述</w:t>
            </w:r>
          </w:p>
        </w:tc>
        <w:tc>
          <w:tcPr>
            <w:tcW w:w="2551" w:type="dxa"/>
            <w:vAlign w:val="center"/>
          </w:tcPr>
          <w:p>
            <w:pPr>
              <w:pStyle w:val="16"/>
              <w:keepNext w:val="0"/>
              <w:keepLines w:val="0"/>
              <w:suppressLineNumbers w:val="0"/>
              <w:spacing w:beforeAutospacing="0" w:afterAutospacing="0"/>
              <w:ind w:left="0" w:right="0"/>
            </w:pPr>
            <w:r>
              <w:t>指标值</w:t>
            </w:r>
          </w:p>
        </w:tc>
        <w:tc>
          <w:tcPr>
            <w:tcW w:w="2268" w:type="dxa"/>
            <w:vAlign w:val="center"/>
          </w:tcPr>
          <w:p>
            <w:pPr>
              <w:pStyle w:val="16"/>
              <w:keepNext w:val="0"/>
              <w:keepLines w:val="0"/>
              <w:suppressLineNumbers w:val="0"/>
              <w:spacing w:beforeAutospacing="0" w:afterAutospacing="0"/>
              <w:ind w:left="0" w:right="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suppressLineNumbers w:val="0"/>
              <w:spacing w:beforeAutospacing="0" w:afterAutospacing="0"/>
              <w:ind w:left="0" w:right="0"/>
            </w:pPr>
            <w:r>
              <w:t>产出指标</w:t>
            </w:r>
          </w:p>
        </w:tc>
        <w:tc>
          <w:tcPr>
            <w:tcW w:w="2268" w:type="dxa"/>
            <w:vAlign w:val="center"/>
          </w:tcPr>
          <w:p>
            <w:pPr>
              <w:pStyle w:val="17"/>
              <w:keepNext w:val="0"/>
              <w:keepLines w:val="0"/>
              <w:suppressLineNumbers w:val="0"/>
              <w:spacing w:beforeAutospacing="0" w:afterAutospacing="0"/>
              <w:ind w:left="0" w:right="0"/>
            </w:pPr>
            <w:r>
              <w:t>数量指标</w:t>
            </w:r>
          </w:p>
        </w:tc>
        <w:tc>
          <w:tcPr>
            <w:tcW w:w="2835" w:type="dxa"/>
            <w:vAlign w:val="center"/>
          </w:tcPr>
          <w:p>
            <w:pPr>
              <w:pStyle w:val="17"/>
              <w:keepNext w:val="0"/>
              <w:keepLines w:val="0"/>
              <w:suppressLineNumbers w:val="0"/>
              <w:spacing w:beforeAutospacing="0" w:afterAutospacing="0"/>
              <w:ind w:left="0" w:right="0"/>
            </w:pPr>
            <w:r>
              <w:t>维护数量</w:t>
            </w:r>
          </w:p>
        </w:tc>
        <w:tc>
          <w:tcPr>
            <w:tcW w:w="2835" w:type="dxa"/>
            <w:vAlign w:val="center"/>
          </w:tcPr>
          <w:p>
            <w:pPr>
              <w:pStyle w:val="17"/>
              <w:keepNext w:val="0"/>
              <w:keepLines w:val="0"/>
              <w:suppressLineNumbers w:val="0"/>
              <w:spacing w:beforeAutospacing="0" w:afterAutospacing="0"/>
              <w:ind w:left="0" w:right="0"/>
            </w:pPr>
            <w:r>
              <w:t>维护政法四级网光纤传输数量</w:t>
            </w:r>
          </w:p>
        </w:tc>
        <w:tc>
          <w:tcPr>
            <w:tcW w:w="2551" w:type="dxa"/>
            <w:vAlign w:val="center"/>
          </w:tcPr>
          <w:p>
            <w:pPr>
              <w:pStyle w:val="17"/>
              <w:keepNext w:val="0"/>
              <w:keepLines w:val="0"/>
              <w:suppressLineNumbers w:val="0"/>
              <w:spacing w:beforeAutospacing="0" w:afterAutospacing="0"/>
              <w:ind w:left="0" w:right="0"/>
            </w:pPr>
            <w:r>
              <w:t xml:space="preserve"> =42节点</w:t>
            </w:r>
          </w:p>
        </w:tc>
        <w:tc>
          <w:tcPr>
            <w:tcW w:w="2268" w:type="dxa"/>
            <w:vAlign w:val="center"/>
          </w:tcPr>
          <w:p>
            <w:pPr>
              <w:pStyle w:val="17"/>
              <w:keepNext w:val="0"/>
              <w:keepLines w:val="0"/>
              <w:suppressLineNumbers w:val="0"/>
              <w:spacing w:beforeAutospacing="0" w:afterAutospacing="0"/>
              <w:ind w:left="0" w:right="0"/>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质量指标</w:t>
            </w:r>
          </w:p>
        </w:tc>
        <w:tc>
          <w:tcPr>
            <w:tcW w:w="2835" w:type="dxa"/>
            <w:vAlign w:val="center"/>
          </w:tcPr>
          <w:p>
            <w:pPr>
              <w:pStyle w:val="17"/>
              <w:keepNext w:val="0"/>
              <w:keepLines w:val="0"/>
              <w:suppressLineNumbers w:val="0"/>
              <w:spacing w:beforeAutospacing="0" w:afterAutospacing="0"/>
              <w:ind w:left="0" w:right="0"/>
            </w:pPr>
            <w:r>
              <w:t>正常运行率</w:t>
            </w:r>
          </w:p>
        </w:tc>
        <w:tc>
          <w:tcPr>
            <w:tcW w:w="2835" w:type="dxa"/>
            <w:vAlign w:val="center"/>
          </w:tcPr>
          <w:p>
            <w:pPr>
              <w:pStyle w:val="17"/>
              <w:keepNext w:val="0"/>
              <w:keepLines w:val="0"/>
              <w:suppressLineNumbers w:val="0"/>
              <w:spacing w:beforeAutospacing="0" w:afterAutospacing="0"/>
              <w:ind w:left="0" w:right="0"/>
            </w:pPr>
            <w:r>
              <w:t>正常运行天数与运行总天数比率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时效指标</w:t>
            </w:r>
          </w:p>
        </w:tc>
        <w:tc>
          <w:tcPr>
            <w:tcW w:w="2835" w:type="dxa"/>
            <w:vAlign w:val="center"/>
          </w:tcPr>
          <w:p>
            <w:pPr>
              <w:pStyle w:val="17"/>
              <w:keepNext w:val="0"/>
              <w:keepLines w:val="0"/>
              <w:suppressLineNumbers w:val="0"/>
              <w:spacing w:beforeAutospacing="0" w:afterAutospacing="0"/>
              <w:ind w:left="0" w:right="0"/>
            </w:pPr>
            <w:r>
              <w:t>维护周期</w:t>
            </w:r>
          </w:p>
        </w:tc>
        <w:tc>
          <w:tcPr>
            <w:tcW w:w="2835" w:type="dxa"/>
            <w:vAlign w:val="center"/>
          </w:tcPr>
          <w:p>
            <w:pPr>
              <w:pStyle w:val="17"/>
              <w:keepNext w:val="0"/>
              <w:keepLines w:val="0"/>
              <w:suppressLineNumbers w:val="0"/>
              <w:spacing w:beforeAutospacing="0" w:afterAutospacing="0"/>
              <w:ind w:left="0" w:right="0"/>
            </w:pPr>
            <w:r>
              <w:t>维护政法四级网光纤传输周期</w:t>
            </w:r>
          </w:p>
        </w:tc>
        <w:tc>
          <w:tcPr>
            <w:tcW w:w="2551" w:type="dxa"/>
            <w:vAlign w:val="center"/>
          </w:tcPr>
          <w:p>
            <w:pPr>
              <w:pStyle w:val="17"/>
              <w:keepNext w:val="0"/>
              <w:keepLines w:val="0"/>
              <w:suppressLineNumbers w:val="0"/>
              <w:spacing w:beforeAutospacing="0" w:afterAutospacing="0"/>
              <w:ind w:left="0" w:right="0"/>
            </w:pPr>
            <w:r>
              <w:t xml:space="preserve"> =365天</w:t>
            </w:r>
          </w:p>
        </w:tc>
        <w:tc>
          <w:tcPr>
            <w:tcW w:w="2268" w:type="dxa"/>
            <w:vAlign w:val="center"/>
          </w:tcPr>
          <w:p>
            <w:pPr>
              <w:pStyle w:val="17"/>
              <w:keepNext w:val="0"/>
              <w:keepLines w:val="0"/>
              <w:suppressLineNumbers w:val="0"/>
              <w:spacing w:beforeAutospacing="0" w:afterAutospacing="0"/>
              <w:ind w:left="0" w:right="0"/>
            </w:pPr>
            <w: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suppressLineNumbers w:val="0"/>
              <w:spacing w:before="0" w:beforeAutospacing="0" w:after="0" w:afterAutospacing="0"/>
              <w:ind w:left="0" w:right="0"/>
            </w:pPr>
          </w:p>
        </w:tc>
        <w:tc>
          <w:tcPr>
            <w:tcW w:w="2268" w:type="dxa"/>
            <w:vAlign w:val="center"/>
          </w:tcPr>
          <w:p>
            <w:pPr>
              <w:pStyle w:val="17"/>
              <w:keepNext w:val="0"/>
              <w:keepLines w:val="0"/>
              <w:suppressLineNumbers w:val="0"/>
              <w:spacing w:beforeAutospacing="0" w:afterAutospacing="0"/>
              <w:ind w:left="0" w:right="0"/>
            </w:pPr>
            <w:r>
              <w:t>成本指标</w:t>
            </w:r>
          </w:p>
        </w:tc>
        <w:tc>
          <w:tcPr>
            <w:tcW w:w="2835" w:type="dxa"/>
            <w:vAlign w:val="center"/>
          </w:tcPr>
          <w:p>
            <w:pPr>
              <w:pStyle w:val="17"/>
              <w:keepNext w:val="0"/>
              <w:keepLines w:val="0"/>
              <w:suppressLineNumbers w:val="0"/>
              <w:spacing w:beforeAutospacing="0" w:afterAutospacing="0"/>
              <w:ind w:left="0" w:right="0"/>
            </w:pPr>
            <w:r>
              <w:t>成本控制率</w:t>
            </w:r>
          </w:p>
        </w:tc>
        <w:tc>
          <w:tcPr>
            <w:tcW w:w="2835" w:type="dxa"/>
            <w:vAlign w:val="center"/>
          </w:tcPr>
          <w:p>
            <w:pPr>
              <w:pStyle w:val="17"/>
              <w:keepNext w:val="0"/>
              <w:keepLines w:val="0"/>
              <w:suppressLineNumbers w:val="0"/>
              <w:spacing w:beforeAutospacing="0" w:afterAutospacing="0"/>
              <w:ind w:left="0" w:right="0"/>
            </w:pPr>
            <w:r>
              <w:t>实际支出占预算金额的比率</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效益指标</w:t>
            </w:r>
          </w:p>
        </w:tc>
        <w:tc>
          <w:tcPr>
            <w:tcW w:w="2268" w:type="dxa"/>
            <w:vAlign w:val="center"/>
          </w:tcPr>
          <w:p>
            <w:pPr>
              <w:pStyle w:val="17"/>
              <w:keepNext w:val="0"/>
              <w:keepLines w:val="0"/>
              <w:suppressLineNumbers w:val="0"/>
              <w:spacing w:beforeAutospacing="0" w:afterAutospacing="0"/>
              <w:ind w:left="0" w:right="0"/>
            </w:pPr>
            <w:r>
              <w:t>社会效益指标</w:t>
            </w:r>
          </w:p>
        </w:tc>
        <w:tc>
          <w:tcPr>
            <w:tcW w:w="2835" w:type="dxa"/>
            <w:vAlign w:val="center"/>
          </w:tcPr>
          <w:p>
            <w:pPr>
              <w:pStyle w:val="17"/>
              <w:keepNext w:val="0"/>
              <w:keepLines w:val="0"/>
              <w:suppressLineNumbers w:val="0"/>
              <w:spacing w:beforeAutospacing="0" w:afterAutospacing="0"/>
              <w:ind w:left="0" w:right="0"/>
            </w:pPr>
            <w:r>
              <w:t>确保政法各部门正常运行</w:t>
            </w:r>
          </w:p>
        </w:tc>
        <w:tc>
          <w:tcPr>
            <w:tcW w:w="2835" w:type="dxa"/>
            <w:vAlign w:val="center"/>
          </w:tcPr>
          <w:p>
            <w:pPr>
              <w:pStyle w:val="17"/>
              <w:keepNext w:val="0"/>
              <w:keepLines w:val="0"/>
              <w:suppressLineNumbers w:val="0"/>
              <w:spacing w:beforeAutospacing="0" w:afterAutospacing="0"/>
              <w:ind w:left="0" w:right="0"/>
            </w:pPr>
            <w:r>
              <w:t>通过政法四级网光纤传输及维保，确保政法网正常运行</w:t>
            </w:r>
          </w:p>
        </w:tc>
        <w:tc>
          <w:tcPr>
            <w:tcW w:w="2551" w:type="dxa"/>
            <w:vAlign w:val="center"/>
          </w:tcPr>
          <w:p>
            <w:pPr>
              <w:pStyle w:val="17"/>
              <w:keepNext w:val="0"/>
              <w:keepLines w:val="0"/>
              <w:suppressLineNumbers w:val="0"/>
              <w:spacing w:beforeAutospacing="0" w:afterAutospacing="0"/>
              <w:ind w:left="0" w:right="0"/>
            </w:pPr>
            <w:r>
              <w:t>100百分比</w:t>
            </w:r>
          </w:p>
        </w:tc>
        <w:tc>
          <w:tcPr>
            <w:tcW w:w="2268" w:type="dxa"/>
            <w:vAlign w:val="center"/>
          </w:tcPr>
          <w:p>
            <w:pPr>
              <w:pStyle w:val="17"/>
              <w:keepNext w:val="0"/>
              <w:keepLines w:val="0"/>
              <w:suppressLineNumbers w:val="0"/>
              <w:spacing w:beforeAutospacing="0" w:afterAutospacing="0"/>
              <w:ind w:left="0" w:right="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suppressLineNumbers w:val="0"/>
              <w:spacing w:beforeAutospacing="0" w:afterAutospacing="0"/>
              <w:ind w:left="0" w:right="0"/>
            </w:pPr>
            <w:r>
              <w:t>满意度指标</w:t>
            </w:r>
          </w:p>
        </w:tc>
        <w:tc>
          <w:tcPr>
            <w:tcW w:w="2268" w:type="dxa"/>
            <w:vAlign w:val="center"/>
          </w:tcPr>
          <w:p>
            <w:pPr>
              <w:pStyle w:val="17"/>
              <w:keepNext w:val="0"/>
              <w:keepLines w:val="0"/>
              <w:suppressLineNumbers w:val="0"/>
              <w:spacing w:beforeAutospacing="0" w:afterAutospacing="0"/>
              <w:ind w:left="0" w:right="0"/>
            </w:pPr>
            <w:r>
              <w:t>服务对象满意度指标</w:t>
            </w:r>
          </w:p>
        </w:tc>
        <w:tc>
          <w:tcPr>
            <w:tcW w:w="2835" w:type="dxa"/>
            <w:vAlign w:val="center"/>
          </w:tcPr>
          <w:p>
            <w:pPr>
              <w:pStyle w:val="17"/>
              <w:keepNext w:val="0"/>
              <w:keepLines w:val="0"/>
              <w:suppressLineNumbers w:val="0"/>
              <w:spacing w:beforeAutospacing="0" w:afterAutospacing="0"/>
              <w:ind w:left="0" w:right="0"/>
            </w:pPr>
            <w:r>
              <w:t>使用人员满意度</w:t>
            </w:r>
          </w:p>
        </w:tc>
        <w:tc>
          <w:tcPr>
            <w:tcW w:w="2835" w:type="dxa"/>
            <w:vAlign w:val="center"/>
          </w:tcPr>
          <w:p>
            <w:pPr>
              <w:pStyle w:val="17"/>
              <w:keepNext w:val="0"/>
              <w:keepLines w:val="0"/>
              <w:suppressLineNumbers w:val="0"/>
              <w:spacing w:beforeAutospacing="0" w:afterAutospacing="0"/>
              <w:ind w:left="0" w:right="0"/>
            </w:pPr>
            <w:r>
              <w:t>受益对象满意度</w:t>
            </w:r>
          </w:p>
        </w:tc>
        <w:tc>
          <w:tcPr>
            <w:tcW w:w="2551" w:type="dxa"/>
            <w:vAlign w:val="center"/>
          </w:tcPr>
          <w:p>
            <w:pPr>
              <w:pStyle w:val="17"/>
              <w:keepNext w:val="0"/>
              <w:keepLines w:val="0"/>
              <w:suppressLineNumbers w:val="0"/>
              <w:spacing w:beforeAutospacing="0" w:afterAutospacing="0"/>
              <w:ind w:left="0" w:right="0"/>
            </w:pPr>
            <w:r>
              <w:t>≥95百分比</w:t>
            </w:r>
          </w:p>
        </w:tc>
        <w:tc>
          <w:tcPr>
            <w:tcW w:w="2268" w:type="dxa"/>
            <w:vAlign w:val="center"/>
          </w:tcPr>
          <w:p>
            <w:pPr>
              <w:pStyle w:val="17"/>
              <w:keepNext w:val="0"/>
              <w:keepLines w:val="0"/>
              <w:suppressLineNumbers w:val="0"/>
              <w:spacing w:beforeAutospacing="0" w:afterAutospacing="0"/>
              <w:ind w:left="0" w:right="0"/>
            </w:pPr>
            <w:r>
              <w:t>调查问卷</w:t>
            </w:r>
          </w:p>
        </w:tc>
      </w:tr>
    </w:tbl>
    <w:p>
      <w:pPr>
        <w:ind w:firstLine="420" w:firstLineChars="200"/>
        <w:jc w:val="left"/>
      </w:pPr>
    </w:p>
    <w:p>
      <w:pPr>
        <w:spacing w:before="156" w:beforeLines="50" w:after="156" w:afterLines="50"/>
        <w:ind w:firstLine="640" w:firstLineChars="200"/>
        <w:jc w:val="left"/>
        <w:outlineLvl w:val="2"/>
        <w:rPr>
          <w:rFonts w:hint="eastAsia" w:hAnsi="宋体"/>
          <w:sz w:val="32"/>
        </w:rPr>
      </w:pPr>
      <w:bookmarkStart w:id="5" w:name="_Toc67669225"/>
      <w:r>
        <w:rPr>
          <w:rFonts w:hint="eastAsia" w:ascii="黑体" w:eastAsia="黑体"/>
          <w:sz w:val="32"/>
        </w:rPr>
        <w:t>六、政府采购预算情况</w:t>
      </w:r>
      <w:bookmarkEnd w:id="5"/>
    </w:p>
    <w:p>
      <w:pPr>
        <w:spacing w:line="500" w:lineRule="exact"/>
        <w:ind w:firstLine="640" w:firstLineChars="200"/>
        <w:jc w:val="left"/>
        <w:rPr>
          <w:rFonts w:hint="eastAsia" w:hAnsi="宋体"/>
          <w:sz w:val="28"/>
        </w:rPr>
      </w:pPr>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242</w:t>
      </w:r>
      <w:r>
        <w:rPr>
          <w:rFonts w:ascii="仿宋" w:hAnsi="仿宋" w:eastAsia="仿宋" w:cs="Times New Roman"/>
          <w:sz w:val="32"/>
          <w:szCs w:val="24"/>
        </w:rPr>
        <w:t>万元。具体内容见下表。</w:t>
      </w:r>
    </w:p>
    <w:p>
      <w:pPr>
        <w:jc w:val="center"/>
        <w:rPr>
          <w:rFonts w:hint="eastAsia" w:hAnsi="宋体"/>
          <w:sz w:val="36"/>
        </w:rPr>
      </w:pPr>
      <w:r>
        <w:rPr>
          <w:rFonts w:hint="eastAsia" w:ascii="方正小标宋_GBK" w:eastAsia="方正小标宋_GBK"/>
          <w:sz w:val="36"/>
        </w:rPr>
        <w:t>部门政府采购预算</w:t>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小标宋_GBK" w:eastAsia="方正小标宋_GBK"/>
                <w:sz w:val="24"/>
              </w:rPr>
            </w:pPr>
            <w:r>
              <w:rPr>
                <w:rFonts w:ascii="方正小标宋_GBK" w:eastAsia="方正小标宋_GBK"/>
                <w:sz w:val="24"/>
              </w:rPr>
              <w:t>216</w:t>
            </w:r>
            <w:r>
              <w:rPr>
                <w:rFonts w:hint="eastAsia" w:ascii="方正小标宋_GBK" w:eastAsia="方正小标宋_GBK"/>
                <w:sz w:val="24"/>
              </w:rPr>
              <w:t>政法委</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1531"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709"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90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90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b/>
              </w:rPr>
            </w:pP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b/>
              </w:rPr>
            </w:pPr>
          </w:p>
        </w:tc>
        <w:tc>
          <w:tcPr>
            <w:tcW w:w="70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r>
              <w:rPr>
                <w:rFonts w:hint="eastAsia" w:ascii="方正书宋_GBK" w:eastAsia="方正书宋_GBK"/>
                <w:b/>
                <w:lang w:val="en-US" w:eastAsia="zh-CN"/>
              </w:rPr>
              <w:t>242</w:t>
            </w:r>
            <w:r>
              <w:rPr>
                <w:rFonts w:ascii="方正书宋_GBK" w:eastAsia="方正书宋_GBK"/>
                <w:b/>
              </w:rPr>
              <w:t>.00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b/>
                <w:lang w:val="en-US" w:eastAsia="zh-CN"/>
              </w:rPr>
            </w:pPr>
            <w:r>
              <w:rPr>
                <w:rFonts w:hint="eastAsia" w:ascii="方正书宋_GBK" w:eastAsia="方正书宋_GBK"/>
                <w:b/>
                <w:lang w:val="en-US" w:eastAsia="zh-CN"/>
              </w:rPr>
              <w:t>242</w:t>
            </w:r>
            <w:r>
              <w:rPr>
                <w:rFonts w:ascii="方正书宋_GBK" w:eastAsia="方正书宋_GBK"/>
                <w:b/>
              </w:rPr>
              <w:t>.00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b/>
              </w:rPr>
            </w:pPr>
            <w:r>
              <w:rPr>
                <w:rFonts w:hint="eastAsia" w:ascii="方正书宋_GBK" w:eastAsia="方正书宋_GBK"/>
                <w:b/>
              </w:rPr>
              <w:t>中共大厂回族自治县委政法委员会小计</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b/>
              </w:rPr>
            </w:pP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b/>
              </w:rPr>
            </w:pPr>
          </w:p>
        </w:tc>
        <w:tc>
          <w:tcPr>
            <w:tcW w:w="70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b/>
                <w:lang w:val="en-US" w:eastAsia="zh-CN"/>
              </w:rPr>
            </w:pPr>
            <w:r>
              <w:rPr>
                <w:rFonts w:hint="eastAsia" w:ascii="方正书宋_GBK" w:eastAsia="方正书宋_GBK"/>
                <w:b/>
                <w:lang w:val="en-US" w:eastAsia="zh-CN"/>
              </w:rPr>
              <w:t>242.00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r>
              <w:rPr>
                <w:rFonts w:hint="eastAsia" w:ascii="方正书宋_GBK" w:eastAsia="方正书宋_GBK"/>
                <w:b/>
                <w:lang w:val="en-US" w:eastAsia="zh-CN"/>
              </w:rPr>
              <w:t>242</w:t>
            </w:r>
            <w:r>
              <w:rPr>
                <w:rFonts w:ascii="方正书宋_GBK" w:eastAsia="方正书宋_GBK"/>
                <w:b/>
              </w:rPr>
              <w:t>.00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t>2022年“雪亮安防工程”运行维护费项目</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lang w:val="en-US" w:eastAsia="zh-CN"/>
              </w:rPr>
            </w:pPr>
            <w:r>
              <w:rPr>
                <w:rFonts w:hint="eastAsia" w:ascii="方正书宋_GBK" w:eastAsia="方正书宋_GBK"/>
                <w:lang w:val="en-US" w:eastAsia="zh-CN"/>
              </w:rPr>
              <w:t>422.18</w:t>
            </w: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t>其他运行维护服务</w:t>
            </w: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t>C020699</w:t>
            </w:r>
          </w:p>
        </w:tc>
        <w:tc>
          <w:tcPr>
            <w:tcW w:w="70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lang w:eastAsia="zh-CN"/>
              </w:rPr>
            </w:pPr>
            <w:r>
              <w:rPr>
                <w:rFonts w:hint="eastAsia" w:ascii="方正书宋_GBK" w:eastAsia="方正书宋_GBK"/>
                <w:lang w:val="en-US" w:eastAsia="zh-CN"/>
              </w:rPr>
              <w:t>个</w:t>
            </w: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t>110.50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t>110.50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t>110.50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left"/>
            </w:pPr>
            <w:r>
              <w:t>全国两会、冬奥会安保暑期铁路护路经费</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lang w:val="en-US" w:eastAsia="zh-CN"/>
              </w:rPr>
            </w:pPr>
            <w:r>
              <w:rPr>
                <w:rFonts w:hint="eastAsia" w:ascii="方正书宋_GBK" w:eastAsia="方正书宋_GBK"/>
                <w:lang w:val="en-US" w:eastAsia="zh-CN"/>
              </w:rPr>
              <w:t>60.00</w:t>
            </w: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pPr>
            <w:r>
              <w:t>其他服务</w:t>
            </w: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pPr>
            <w:r>
              <w:t>C99</w:t>
            </w:r>
          </w:p>
        </w:tc>
        <w:tc>
          <w:tcPr>
            <w:tcW w:w="70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lang w:val="en-US" w:eastAsia="zh-CN"/>
              </w:rPr>
            </w:pPr>
            <w:r>
              <w:t>人/天</w:t>
            </w: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t>2480</w:t>
            </w: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eastAsia="宋体"/>
                <w:lang w:val="en-US" w:eastAsia="zh-CN"/>
              </w:rPr>
            </w:pPr>
            <w:r>
              <w:rPr>
                <w:rFonts w:hint="eastAsia"/>
                <w:lang w:val="en-US" w:eastAsia="zh-CN"/>
              </w:rPr>
              <w:t>0.02</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eastAsia="宋体"/>
                <w:lang w:val="en-US" w:eastAsia="zh-CN"/>
              </w:rPr>
            </w:pPr>
            <w:r>
              <w:rPr>
                <w:rFonts w:hint="eastAsia"/>
                <w:lang w:val="en-US" w:eastAsia="zh-CN"/>
              </w:rPr>
              <w:t>37.2</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eastAsia="宋体"/>
                <w:lang w:val="en-US" w:eastAsia="zh-CN"/>
              </w:rPr>
            </w:pPr>
            <w:r>
              <w:rPr>
                <w:rFonts w:hint="eastAsia"/>
                <w:lang w:val="en-US" w:eastAsia="zh-CN"/>
              </w:rPr>
              <w:t>37.2</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left"/>
            </w:pPr>
            <w:r>
              <w:t>政法四级网光纤传输及维保费项目</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lang w:val="en-US" w:eastAsia="zh-CN"/>
              </w:rPr>
            </w:pPr>
            <w:r>
              <w:rPr>
                <w:rFonts w:hint="eastAsia" w:ascii="方正书宋_GBK" w:eastAsia="方正书宋_GBK"/>
                <w:lang w:val="en-US" w:eastAsia="zh-CN"/>
              </w:rPr>
              <w:t>94.3</w:t>
            </w: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pPr>
            <w:r>
              <w:t>软件运维服务</w:t>
            </w: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pPr>
            <w:r>
              <w:t>C020603</w:t>
            </w:r>
          </w:p>
        </w:tc>
        <w:tc>
          <w:tcPr>
            <w:tcW w:w="70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eastAsia="宋体"/>
                <w:lang w:val="en-US" w:eastAsia="zh-CN"/>
              </w:rPr>
            </w:pPr>
            <w:r>
              <w:rPr>
                <w:rFonts w:hint="eastAsia"/>
                <w:lang w:val="en-US" w:eastAsia="zh-CN"/>
              </w:rPr>
              <w:t>项</w:t>
            </w: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eastAsia" w:eastAsia="宋体"/>
                <w:lang w:val="en-US" w:eastAsia="zh-CN"/>
              </w:rPr>
            </w:pPr>
            <w:r>
              <w:rPr>
                <w:rFonts w:hint="eastAsia"/>
                <w:lang w:val="en-US" w:eastAsia="zh-CN"/>
              </w:rPr>
              <w:t>1</w:t>
            </w: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lang w:val="en-US" w:eastAsia="zh-CN"/>
              </w:rPr>
            </w:pPr>
            <w:r>
              <w:rPr>
                <w:rFonts w:hint="eastAsia"/>
                <w:lang w:val="en-US" w:eastAsia="zh-CN"/>
              </w:rPr>
              <w:t>94.3</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lang w:val="en-US" w:eastAsia="zh-CN"/>
              </w:rPr>
            </w:pPr>
            <w:r>
              <w:rPr>
                <w:rFonts w:hint="eastAsia"/>
                <w:lang w:val="en-US" w:eastAsia="zh-CN"/>
              </w:rPr>
              <w:t>94.3</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hint="default"/>
                <w:lang w:val="en-US" w:eastAsia="zh-CN"/>
              </w:rPr>
            </w:pPr>
            <w:r>
              <w:rPr>
                <w:rFonts w:hint="eastAsia"/>
                <w:lang w:val="en-US" w:eastAsia="zh-CN"/>
              </w:rPr>
              <w:t>94.3</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r>
    </w:tbl>
    <w:p>
      <w:pPr>
        <w:spacing w:line="300" w:lineRule="exact"/>
        <w:ind w:firstLine="640" w:firstLineChars="200"/>
        <w:jc w:val="left"/>
        <w:rPr>
          <w:rFonts w:hAnsi="宋体"/>
          <w:sz w:val="32"/>
        </w:rPr>
      </w:pPr>
      <w:r>
        <w:rPr>
          <w:rFonts w:eastAsia="方正仿宋_GBK"/>
          <w:sz w:val="32"/>
        </w:rPr>
        <w:t xml:space="preserve"> </w:t>
      </w:r>
    </w:p>
    <w:p>
      <w:pPr>
        <w:spacing w:before="156" w:beforeLines="50" w:after="156" w:afterLines="50"/>
        <w:ind w:firstLine="640" w:firstLineChars="200"/>
        <w:jc w:val="left"/>
        <w:outlineLvl w:val="2"/>
        <w:rPr>
          <w:rFonts w:hint="eastAsia" w:hAnsi="宋体"/>
          <w:sz w:val="32"/>
        </w:rPr>
      </w:pPr>
      <w:bookmarkStart w:id="6" w:name="_Toc67669226"/>
      <w:r>
        <w:rPr>
          <w:rFonts w:hint="eastAsia" w:ascii="黑体" w:hAnsi="黑体" w:eastAsia="黑体"/>
          <w:sz w:val="32"/>
        </w:rPr>
        <w:t>七、国有资产信息</w:t>
      </w:r>
      <w:bookmarkEnd w:id="6"/>
    </w:p>
    <w:p>
      <w:pPr>
        <w:spacing w:line="584" w:lineRule="exact"/>
        <w:ind w:firstLine="640"/>
        <w:rPr>
          <w:rFonts w:eastAsia="仿宋_GB2312"/>
          <w:sz w:val="32"/>
          <w:szCs w:val="32"/>
        </w:rPr>
      </w:pPr>
      <w:r>
        <w:rPr>
          <w:rFonts w:hint="eastAsia" w:eastAsia="仿宋_GB2312"/>
          <w:sz w:val="32"/>
          <w:szCs w:val="32"/>
          <w:lang w:val="en-US" w:eastAsia="zh-CN"/>
        </w:rPr>
        <w:t>中共</w:t>
      </w:r>
      <w:r>
        <w:rPr>
          <w:rFonts w:hint="eastAsia" w:eastAsia="仿宋_GB2312"/>
          <w:sz w:val="32"/>
          <w:szCs w:val="32"/>
        </w:rPr>
        <w:t>大厂回族自治县</w:t>
      </w:r>
      <w:r>
        <w:rPr>
          <w:rFonts w:hint="eastAsia" w:eastAsia="仿宋_GB2312"/>
          <w:sz w:val="32"/>
          <w:szCs w:val="32"/>
          <w:lang w:val="en-US" w:eastAsia="zh-CN"/>
        </w:rPr>
        <w:t>委政法委员会</w:t>
      </w:r>
      <w:r>
        <w:rPr>
          <w:rFonts w:ascii="仿宋" w:hAnsi="仿宋" w:eastAsia="仿宋" w:cs="Times New Roman"/>
          <w:sz w:val="32"/>
          <w:szCs w:val="32"/>
        </w:rPr>
        <w:t>上年末固定资产金额为</w:t>
      </w:r>
      <w:r>
        <w:rPr>
          <w:rFonts w:hint="eastAsia" w:eastAsia="仿宋_GB2312"/>
          <w:sz w:val="32"/>
          <w:szCs w:val="32"/>
          <w:lang w:val="en-US" w:eastAsia="zh-CN"/>
        </w:rPr>
        <w:t>5782.12</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w:t>
      </w:r>
      <w:r>
        <w:rPr>
          <w:rFonts w:hint="eastAsia" w:ascii="仿宋" w:hAnsi="仿宋" w:eastAsia="仿宋" w:cs="Times New Roman"/>
          <w:sz w:val="32"/>
          <w:szCs w:val="32"/>
          <w:lang w:val="en-US" w:eastAsia="zh-CN"/>
        </w:rPr>
        <w:t>无</w:t>
      </w:r>
      <w:r>
        <w:rPr>
          <w:rFonts w:ascii="仿宋" w:hAnsi="仿宋" w:eastAsia="仿宋" w:cs="Times New Roman"/>
          <w:sz w:val="32"/>
          <w:szCs w:val="32"/>
        </w:rPr>
        <w:t>拟购固定资产。</w:t>
      </w:r>
      <w:r>
        <w:rPr>
          <w:rFonts w:hint="eastAsia" w:eastAsia="仿宋_GB2312"/>
          <w:sz w:val="32"/>
          <w:szCs w:val="32"/>
        </w:rPr>
        <w:t>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2891" w:firstLineChars="900"/>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中共</w:t>
            </w:r>
            <w:r>
              <w:rPr>
                <w:rFonts w:hint="eastAsia" w:ascii="宋体" w:hAnsi="宋体" w:eastAsia="宋体" w:cs="宋体"/>
                <w:b/>
                <w:bCs/>
                <w:kern w:val="0"/>
                <w:sz w:val="32"/>
                <w:szCs w:val="32"/>
              </w:rPr>
              <w:t>大厂回族自治县</w:t>
            </w:r>
            <w:r>
              <w:rPr>
                <w:rFonts w:hint="eastAsia" w:ascii="宋体" w:hAnsi="宋体" w:eastAsia="宋体" w:cs="宋体"/>
                <w:b/>
                <w:bCs/>
                <w:kern w:val="0"/>
                <w:sz w:val="32"/>
                <w:szCs w:val="32"/>
                <w:lang w:val="en-US" w:eastAsia="zh-CN"/>
              </w:rPr>
              <w:t>委政法委员会</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中共</w:t>
            </w:r>
            <w:r>
              <w:rPr>
                <w:rFonts w:hint="eastAsia" w:ascii="宋体" w:hAnsi="宋体" w:eastAsia="宋体" w:cs="宋体"/>
                <w:kern w:val="0"/>
                <w:sz w:val="22"/>
              </w:rPr>
              <w:t>大厂回族自治县</w:t>
            </w:r>
            <w:r>
              <w:rPr>
                <w:rFonts w:hint="eastAsia" w:ascii="宋体" w:hAnsi="宋体" w:eastAsia="宋体" w:cs="宋体"/>
                <w:kern w:val="0"/>
                <w:sz w:val="22"/>
                <w:lang w:val="en-US" w:eastAsia="zh-CN"/>
              </w:rPr>
              <w:t>委政法委员会</w:t>
            </w:r>
          </w:p>
        </w:tc>
        <w:tc>
          <w:tcPr>
            <w:tcW w:w="510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cs="宋体"/>
                <w:kern w:val="0"/>
                <w:sz w:val="22"/>
                <w:lang w:val="en-US" w:eastAsia="zh-CN"/>
              </w:rPr>
              <w:t>21</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5782.12</w:t>
            </w:r>
          </w:p>
        </w:tc>
      </w:tr>
      <w:tr>
        <w:tblPrEx>
          <w:tblCellMar>
            <w:top w:w="0" w:type="dxa"/>
            <w:left w:w="108" w:type="dxa"/>
            <w:bottom w:w="0" w:type="dxa"/>
            <w:right w:w="108" w:type="dxa"/>
          </w:tblCellMar>
        </w:tblPrEx>
        <w:trPr>
          <w:trHeight w:val="447"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r>
      <w:tr>
        <w:tblPrEx>
          <w:tblCellMar>
            <w:top w:w="0" w:type="dxa"/>
            <w:left w:w="108" w:type="dxa"/>
            <w:bottom w:w="0" w:type="dxa"/>
            <w:right w:w="108" w:type="dxa"/>
          </w:tblCellMar>
        </w:tblPrEx>
        <w:trPr>
          <w:trHeight w:val="44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r>
      <w:tr>
        <w:tblPrEx>
          <w:tblCellMar>
            <w:top w:w="0" w:type="dxa"/>
            <w:left w:w="108" w:type="dxa"/>
            <w:bottom w:w="0" w:type="dxa"/>
            <w:right w:w="108" w:type="dxa"/>
          </w:tblCellMar>
        </w:tblPrEx>
        <w:trPr>
          <w:trHeight w:val="501"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r>
              <w:rPr>
                <w:rFonts w:hint="eastAsia" w:ascii="宋体" w:hAnsi="宋体" w:eastAsia="宋体" w:cs="宋体"/>
                <w:kern w:val="0"/>
                <w:sz w:val="22"/>
              </w:rPr>
              <w:t>2</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38.77</w:t>
            </w:r>
          </w:p>
        </w:tc>
      </w:tr>
      <w:tr>
        <w:tblPrEx>
          <w:tblCellMar>
            <w:top w:w="0" w:type="dxa"/>
            <w:left w:w="108" w:type="dxa"/>
            <w:bottom w:w="0" w:type="dxa"/>
            <w:right w:w="108" w:type="dxa"/>
          </w:tblCellMar>
        </w:tblPrEx>
        <w:trPr>
          <w:trHeight w:val="500"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5</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5497.97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245.38</w:t>
            </w:r>
          </w:p>
        </w:tc>
      </w:tr>
    </w:tbl>
    <w:p>
      <w:pPr>
        <w:spacing w:before="156" w:beforeLines="50" w:after="156" w:afterLines="50"/>
        <w:ind w:firstLine="640" w:firstLineChars="200"/>
        <w:jc w:val="left"/>
        <w:outlineLvl w:val="2"/>
        <w:rPr>
          <w:rFonts w:hint="eastAsia" w:hAnsi="宋体"/>
          <w:sz w:val="32"/>
        </w:rPr>
      </w:pPr>
      <w:bookmarkStart w:id="7" w:name="_Toc67669227"/>
      <w:r>
        <w:rPr>
          <w:rFonts w:hint="eastAsia" w:ascii="黑体" w:hAnsi="黑体" w:eastAsia="黑体"/>
          <w:sz w:val="32"/>
        </w:rPr>
        <w:t>八、名词解释</w:t>
      </w:r>
      <w:bookmarkEnd w:id="7"/>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w:t>
      </w:r>
      <w:r>
        <w:rPr>
          <w:rFonts w:hint="eastAsia" w:eastAsia="方正仿宋_GBK"/>
          <w:sz w:val="28"/>
        </w:rPr>
        <w:t>级财政当年拨付的资金。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rPr>
        <w:t>“</w:t>
      </w:r>
      <w:r>
        <w:rPr>
          <w:rFonts w:hint="eastAsia" w:eastAsia="方正仿宋_GBK"/>
          <w:sz w:val="28"/>
        </w:rPr>
        <w:t>一般公共预算拨款收入</w:t>
      </w:r>
      <w:r>
        <w:rPr>
          <w:rFonts w:hint="cs" w:eastAsia="方正仿宋_GBK"/>
          <w:sz w:val="28"/>
        </w:rPr>
        <w:t>”</w:t>
      </w:r>
      <w:r>
        <w:rPr>
          <w:rFonts w:hint="eastAsia" w:eastAsia="方正仿宋_GBK"/>
          <w:sz w:val="28"/>
        </w:rPr>
        <w:t>、</w:t>
      </w:r>
      <w:r>
        <w:rPr>
          <w:rFonts w:hint="cs" w:eastAsia="方正仿宋_GBK"/>
          <w:sz w:val="28"/>
        </w:rPr>
        <w:t>“</w:t>
      </w:r>
      <w:r>
        <w:rPr>
          <w:rFonts w:hint="eastAsia" w:eastAsia="方正仿宋_GBK"/>
          <w:sz w:val="28"/>
        </w:rPr>
        <w:t>事业收入</w:t>
      </w:r>
      <w:r>
        <w:rPr>
          <w:rFonts w:hint="cs" w:eastAsia="方正仿宋_GBK"/>
          <w:sz w:val="28"/>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rPr>
        <w:t>“</w:t>
      </w:r>
      <w:r>
        <w:rPr>
          <w:rFonts w:hint="eastAsia" w:eastAsia="方正仿宋_GBK"/>
          <w:b/>
          <w:sz w:val="28"/>
        </w:rPr>
        <w:t>三公</w:t>
      </w:r>
      <w:r>
        <w:rPr>
          <w:rFonts w:hint="cs" w:eastAsia="方正仿宋_GBK"/>
          <w:b/>
          <w:sz w:val="28"/>
        </w:rPr>
        <w:t>”</w:t>
      </w:r>
      <w:r>
        <w:rPr>
          <w:rFonts w:hint="eastAsia" w:eastAsia="方正仿宋_GBK"/>
          <w:b/>
          <w:sz w:val="28"/>
        </w:rPr>
        <w:t>经费：</w:t>
      </w:r>
      <w:r>
        <w:rPr>
          <w:rFonts w:hint="eastAsia" w:eastAsia="方正仿宋_GBK"/>
          <w:sz w:val="28"/>
        </w:rPr>
        <w:t>纳入</w:t>
      </w:r>
      <w:r>
        <w:rPr>
          <w:rFonts w:hint="eastAsia" w:eastAsia="方正仿宋_GBK"/>
          <w:sz w:val="28"/>
          <w:lang w:val="en-US" w:eastAsia="zh-CN"/>
        </w:rPr>
        <w:t>县</w:t>
      </w:r>
      <w:r>
        <w:rPr>
          <w:rFonts w:hint="eastAsia" w:eastAsia="方正仿宋_GBK"/>
          <w:sz w:val="28"/>
        </w:rPr>
        <w:t>级财政预算管理的</w:t>
      </w:r>
      <w:r>
        <w:rPr>
          <w:rFonts w:hint="cs" w:eastAsia="方正仿宋_GBK"/>
          <w:sz w:val="28"/>
        </w:rPr>
        <w:t>“</w:t>
      </w:r>
      <w:r>
        <w:rPr>
          <w:rFonts w:hint="eastAsia" w:eastAsia="方正仿宋_GBK"/>
          <w:sz w:val="28"/>
        </w:rPr>
        <w:t>三公</w:t>
      </w:r>
      <w:r>
        <w:rPr>
          <w:rFonts w:hint="cs" w:eastAsia="方正仿宋_GBK"/>
          <w:sz w:val="28"/>
        </w:rPr>
        <w:t>”</w:t>
      </w:r>
      <w:r>
        <w:rPr>
          <w:rFonts w:hint="eastAsia" w:eastAsia="方正仿宋_GBK"/>
          <w:sz w:val="28"/>
        </w:rPr>
        <w:t>经费，是指</w:t>
      </w:r>
      <w:r>
        <w:rPr>
          <w:rFonts w:hint="eastAsia" w:eastAsia="方正仿宋_GBK"/>
          <w:sz w:val="28"/>
          <w:lang w:val="en-US" w:eastAsia="zh-CN"/>
        </w:rPr>
        <w:t>县</w:t>
      </w:r>
      <w:r>
        <w:rPr>
          <w:rFonts w:hint="eastAsia" w:eastAsia="方正仿宋_GBK"/>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outlineLvl w:val="2"/>
        <w:rPr>
          <w:rFonts w:hint="eastAsia" w:hAnsi="宋体"/>
          <w:sz w:val="32"/>
        </w:rPr>
      </w:pPr>
      <w:bookmarkStart w:id="8" w:name="_Toc67669228"/>
      <w:r>
        <w:rPr>
          <w:rFonts w:hint="eastAsia" w:ascii="黑体" w:hAnsi="黑体" w:eastAsia="黑体"/>
          <w:sz w:val="32"/>
        </w:rPr>
        <w:t>九、其他需要说明的事项</w:t>
      </w:r>
      <w:bookmarkEnd w:id="8"/>
    </w:p>
    <w:p>
      <w:pPr>
        <w:spacing w:line="500" w:lineRule="exact"/>
        <w:ind w:firstLine="560" w:firstLineChars="200"/>
        <w:jc w:val="left"/>
        <w:rPr>
          <w:rFonts w:hint="eastAsia" w:hAnsi="宋体"/>
          <w:sz w:val="28"/>
        </w:rPr>
      </w:pPr>
      <w:r>
        <w:rPr>
          <w:rFonts w:hint="eastAsia" w:eastAsia="方正仿宋_GBK"/>
          <w:sz w:val="28"/>
        </w:rPr>
        <w:t>我部门无其他需要说明的事项。</w:t>
      </w:r>
    </w:p>
    <w:p>
      <w:pPr>
        <w:spacing w:line="500" w:lineRule="exact"/>
        <w:ind w:firstLine="420" w:firstLineChars="200"/>
        <w:jc w:val="left"/>
        <w:sectPr>
          <w:pgSz w:w="16839" w:h="11907" w:orient="landscape"/>
          <w:pgMar w:top="1361" w:right="1020" w:bottom="1361" w:left="1020" w:header="851" w:footer="992" w:gutter="0"/>
          <w:cols w:space="425" w:num="1"/>
          <w:docGrid w:type="lines" w:linePitch="312" w:charSpace="0"/>
        </w:sectPr>
      </w:pPr>
    </w:p>
    <w:p>
      <w:pPr>
        <w:jc w:val="center"/>
        <w:rPr>
          <w:rFonts w:hAnsi="宋体"/>
          <w:sz w:val="44"/>
        </w:rPr>
      </w:pPr>
      <w:r>
        <w:rPr>
          <w:rFonts w:ascii="方正小标宋_GBK" w:eastAsia="方正小标宋_GBK"/>
          <w:sz w:val="44"/>
        </w:rPr>
        <w:t xml:space="preserve"> </w:t>
      </w:r>
    </w:p>
    <w:p>
      <w:pPr>
        <w:spacing w:line="584" w:lineRule="exact"/>
        <w:rPr>
          <w:rFonts w:hint="eastAsia" w:ascii="仿宋" w:hAnsi="仿宋" w:eastAsia="仿宋" w:cs="Times New Roman"/>
          <w:sz w:val="32"/>
          <w:szCs w:val="32"/>
          <w:lang w:eastAsia="zh-CN"/>
        </w:rPr>
      </w:pP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0DD"/>
    <w:rsid w:val="000261B2"/>
    <w:rsid w:val="000D16EE"/>
    <w:rsid w:val="001F687F"/>
    <w:rsid w:val="003909CD"/>
    <w:rsid w:val="00391E11"/>
    <w:rsid w:val="003A2542"/>
    <w:rsid w:val="003F44D0"/>
    <w:rsid w:val="00406D17"/>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E07AC"/>
    <w:rsid w:val="00F20758"/>
    <w:rsid w:val="00F32D3E"/>
    <w:rsid w:val="038067B7"/>
    <w:rsid w:val="06CF53A1"/>
    <w:rsid w:val="07A707CB"/>
    <w:rsid w:val="082B00E6"/>
    <w:rsid w:val="0B4924C2"/>
    <w:rsid w:val="0FCB2F6A"/>
    <w:rsid w:val="1256246D"/>
    <w:rsid w:val="13E50A2D"/>
    <w:rsid w:val="16A2536D"/>
    <w:rsid w:val="16F1626B"/>
    <w:rsid w:val="18D63A48"/>
    <w:rsid w:val="1EC7544A"/>
    <w:rsid w:val="2274380D"/>
    <w:rsid w:val="235928C9"/>
    <w:rsid w:val="279A68CE"/>
    <w:rsid w:val="29B70833"/>
    <w:rsid w:val="2EC911E8"/>
    <w:rsid w:val="2ED20C1C"/>
    <w:rsid w:val="2F1D7CD6"/>
    <w:rsid w:val="2FFE1C99"/>
    <w:rsid w:val="3018281D"/>
    <w:rsid w:val="30827134"/>
    <w:rsid w:val="316C47DB"/>
    <w:rsid w:val="32BF5753"/>
    <w:rsid w:val="349973CD"/>
    <w:rsid w:val="391130C3"/>
    <w:rsid w:val="39F61618"/>
    <w:rsid w:val="3B21041B"/>
    <w:rsid w:val="3BFC63C9"/>
    <w:rsid w:val="3C1040DC"/>
    <w:rsid w:val="42FC4833"/>
    <w:rsid w:val="430E1D08"/>
    <w:rsid w:val="43250C5D"/>
    <w:rsid w:val="45EA5BAB"/>
    <w:rsid w:val="4B9B64BA"/>
    <w:rsid w:val="50107329"/>
    <w:rsid w:val="50986935"/>
    <w:rsid w:val="52BA5DAB"/>
    <w:rsid w:val="5515696A"/>
    <w:rsid w:val="55D835FB"/>
    <w:rsid w:val="59927409"/>
    <w:rsid w:val="5AF32981"/>
    <w:rsid w:val="5F2E2C16"/>
    <w:rsid w:val="607B22EA"/>
    <w:rsid w:val="60D9790E"/>
    <w:rsid w:val="613C4590"/>
    <w:rsid w:val="625653C1"/>
    <w:rsid w:val="62936020"/>
    <w:rsid w:val="644A404B"/>
    <w:rsid w:val="64C94E60"/>
    <w:rsid w:val="698E51F5"/>
    <w:rsid w:val="6AA377B5"/>
    <w:rsid w:val="6B340AAA"/>
    <w:rsid w:val="6E925AC6"/>
    <w:rsid w:val="7175520A"/>
    <w:rsid w:val="722B659B"/>
    <w:rsid w:val="73C64F41"/>
    <w:rsid w:val="74D11051"/>
    <w:rsid w:val="753D6F6B"/>
    <w:rsid w:val="76B37A96"/>
    <w:rsid w:val="77206B59"/>
    <w:rsid w:val="77F65173"/>
    <w:rsid w:val="799F5B39"/>
    <w:rsid w:val="7C0D5604"/>
    <w:rsid w:val="7DB41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496</Words>
  <Characters>2829</Characters>
  <Lines>23</Lines>
  <Paragraphs>6</Paragraphs>
  <TotalTime>10</TotalTime>
  <ScaleCrop>false</ScaleCrop>
  <LinksUpToDate>false</LinksUpToDate>
  <CharactersWithSpaces>3319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HP</cp:lastModifiedBy>
  <cp:lastPrinted>2018-01-30T06:12:00Z</cp:lastPrinted>
  <dcterms:modified xsi:type="dcterms:W3CDTF">2023-11-06T02:28:43Z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